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85" w:rsidRDefault="000E3585" w:rsidP="000E3585">
      <w:pPr>
        <w:pStyle w:val="Heading2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Urban Health</w:t>
      </w:r>
    </w:p>
    <w:p w:rsidR="00E06F41" w:rsidRPr="0038356C" w:rsidRDefault="00E06F41" w:rsidP="0004469A">
      <w:pPr>
        <w:pStyle w:val="Heading2"/>
        <w:rPr>
          <w:rFonts w:ascii="Calibri" w:hAnsi="Calibri" w:cs="Calibri"/>
          <w:color w:val="000000"/>
        </w:rPr>
      </w:pPr>
      <w:r w:rsidRPr="0038356C">
        <w:rPr>
          <w:rFonts w:ascii="Calibri" w:hAnsi="Calibri" w:cs="Calibri"/>
          <w:color w:val="000000"/>
        </w:rPr>
        <w:t>Background</w:t>
      </w:r>
    </w:p>
    <w:p w:rsidR="00E06F41" w:rsidRPr="00E63F29" w:rsidRDefault="00E06F41" w:rsidP="00E06F41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>
        <w:rPr>
          <w:rFonts w:cs="Calibri"/>
          <w:color w:val="000000"/>
          <w:sz w:val="24"/>
          <w:szCs w:val="24"/>
        </w:rPr>
        <w:t xml:space="preserve">The land mass of the state of </w:t>
      </w:r>
      <w:proofErr w:type="spellStart"/>
      <w:r>
        <w:rPr>
          <w:rFonts w:cs="Calibri"/>
          <w:color w:val="000000"/>
          <w:sz w:val="24"/>
          <w:szCs w:val="24"/>
        </w:rPr>
        <w:t>Odisha</w:t>
      </w:r>
      <w:proofErr w:type="spellEnd"/>
      <w:r>
        <w:rPr>
          <w:rFonts w:cs="Calibri"/>
          <w:color w:val="000000"/>
          <w:sz w:val="24"/>
          <w:szCs w:val="24"/>
        </w:rPr>
        <w:t xml:space="preserve"> is comprised within thirty districts. The state has 111 statutory and 112 census towns. The urban local Administration in the state consists of 5 Municipal Corporations, 45 Municipalities and 61 Notified Area Councils.</w:t>
      </w:r>
    </w:p>
    <w:p w:rsidR="0004469A" w:rsidRDefault="0004469A" w:rsidP="0004469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04469A">
        <w:rPr>
          <w:b/>
          <w:sz w:val="24"/>
          <w:szCs w:val="24"/>
        </w:rPr>
        <w:t>NUHM would focus</w:t>
      </w:r>
      <w:r w:rsidRPr="00817B4B">
        <w:rPr>
          <w:sz w:val="24"/>
          <w:szCs w:val="24"/>
        </w:rPr>
        <w:t xml:space="preserve"> on:</w:t>
      </w:r>
    </w:p>
    <w:p w:rsidR="0004469A" w:rsidRPr="000D2D02" w:rsidRDefault="0004469A" w:rsidP="000446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0D2D02">
        <w:rPr>
          <w:rFonts w:cs="Calibri"/>
          <w:color w:val="000000"/>
          <w:sz w:val="24"/>
          <w:szCs w:val="24"/>
        </w:rPr>
        <w:t>Urban Poor Population living in listed and unlisted slums</w:t>
      </w:r>
    </w:p>
    <w:p w:rsidR="0004469A" w:rsidRPr="000D2D02" w:rsidRDefault="0004469A" w:rsidP="000446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0D2D02">
        <w:rPr>
          <w:rFonts w:cs="Calibri"/>
          <w:color w:val="000000"/>
          <w:sz w:val="24"/>
          <w:szCs w:val="24"/>
        </w:rPr>
        <w:t>All other vulnerable population such as homeless, rag-pickers, street children, rickshaw pullers, construction and brick and lime kiln workers, sex workers, and other temporary migrants.</w:t>
      </w:r>
    </w:p>
    <w:p w:rsidR="0004469A" w:rsidRPr="000D2D02" w:rsidRDefault="0004469A" w:rsidP="000446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0D2D02">
        <w:rPr>
          <w:rFonts w:cs="Calibri"/>
          <w:color w:val="000000"/>
          <w:sz w:val="24"/>
          <w:szCs w:val="24"/>
        </w:rPr>
        <w:t>Public health thrust on sanitation, clean drinking water, vector control, etc.</w:t>
      </w:r>
    </w:p>
    <w:p w:rsidR="00E06F41" w:rsidRPr="000D2D02" w:rsidRDefault="0004469A" w:rsidP="000446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0D2D02">
        <w:rPr>
          <w:rFonts w:cs="Calibri"/>
          <w:color w:val="000000"/>
          <w:sz w:val="24"/>
          <w:szCs w:val="24"/>
        </w:rPr>
        <w:t>Strengthening public health capacity of urban local bodies.</w:t>
      </w:r>
    </w:p>
    <w:tbl>
      <w:tblPr>
        <w:tblW w:w="5457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949"/>
      </w:tblGrid>
      <w:tr w:rsidR="00EF36F2" w:rsidRPr="00EF36F2" w:rsidTr="00E61CFD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59"/>
            </w:tblGrid>
            <w:tr w:rsidR="00EF36F2" w:rsidRPr="00EF36F2" w:rsidTr="00EF36F2">
              <w:tc>
                <w:tcPr>
                  <w:tcW w:w="0" w:type="auto"/>
                  <w:vAlign w:val="center"/>
                  <w:hideMark/>
                </w:tcPr>
                <w:p w:rsidR="00EF36F2" w:rsidRPr="00EF36F2" w:rsidRDefault="00EF36F2" w:rsidP="00EF36F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EF36F2" w:rsidRPr="00EF36F2" w:rsidTr="00EF36F2">
              <w:tc>
                <w:tcPr>
                  <w:tcW w:w="0" w:type="auto"/>
                  <w:vAlign w:val="center"/>
                  <w:hideMark/>
                </w:tcPr>
                <w:p w:rsidR="0004469A" w:rsidRDefault="0004469A" w:rsidP="0069703A">
                  <w:pPr>
                    <w:spacing w:after="0" w:line="360" w:lineRule="auto"/>
                    <w:jc w:val="both"/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</w:pPr>
                </w:p>
                <w:p w:rsidR="00E278BE" w:rsidRDefault="0004469A" w:rsidP="0069703A">
                  <w:pPr>
                    <w:spacing w:after="0" w:line="360" w:lineRule="auto"/>
                    <w:jc w:val="both"/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</w:pPr>
                  <w:r w:rsidRPr="0004469A">
                    <w:rPr>
                      <w:rFonts w:eastAsia="Times New Roman" w:cs="Arial"/>
                      <w:b/>
                      <w:color w:val="111111"/>
                      <w:sz w:val="24"/>
                      <w:szCs w:val="24"/>
                      <w:lang w:eastAsia="en-IN"/>
                    </w:rPr>
                    <w:t>NUHM laun</w:t>
                  </w:r>
                  <w:r w:rsidR="00E278BE">
                    <w:rPr>
                      <w:rFonts w:eastAsia="Times New Roman" w:cs="Arial"/>
                      <w:b/>
                      <w:color w:val="111111"/>
                      <w:sz w:val="24"/>
                      <w:szCs w:val="24"/>
                      <w:lang w:eastAsia="en-IN"/>
                    </w:rPr>
                    <w:t xml:space="preserve">ching </w:t>
                  </w:r>
                  <w:r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:rsidR="00EF36F2" w:rsidRPr="00EF36F2" w:rsidRDefault="00EF36F2" w:rsidP="0069703A">
                  <w:pPr>
                    <w:spacing w:after="0" w:line="360" w:lineRule="auto"/>
                    <w:jc w:val="both"/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</w:pPr>
                  <w:r w:rsidRPr="00EF36F2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Govt. of India has launched the National Urban Health Mission (NUHM) </w:t>
                  </w:r>
                  <w:r w:rsidR="0069703A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>on 20</w:t>
                  </w:r>
                  <w:r w:rsidR="0069703A" w:rsidRPr="0069703A">
                    <w:rPr>
                      <w:rFonts w:eastAsia="Times New Roman" w:cs="Arial"/>
                      <w:color w:val="111111"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  <w:r w:rsidR="0069703A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 January 201</w:t>
                  </w:r>
                  <w:r w:rsidR="00DE52FD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>3</w:t>
                  </w:r>
                  <w:r w:rsidR="0069703A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EF36F2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>as a sub-mission under overarching National Health Mission (NHM) for providing quality primary health care services to the urban population, especially the urban poor and other vulnerable sectors of the society</w:t>
                  </w:r>
                  <w:r w:rsidR="00687D4B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E06F41" w:rsidRPr="00D60E36"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  <w:r w:rsidR="00E06F41" w:rsidRPr="00EF5FDC">
                    <w:rPr>
                      <w:sz w:val="24"/>
                      <w:szCs w:val="24"/>
                    </w:rPr>
                    <w:t xml:space="preserve">In the State of </w:t>
                  </w:r>
                  <w:proofErr w:type="spellStart"/>
                  <w:r w:rsidR="00E06F41" w:rsidRPr="00EF5FDC">
                    <w:rPr>
                      <w:sz w:val="24"/>
                      <w:szCs w:val="24"/>
                    </w:rPr>
                    <w:t>Odisha</w:t>
                  </w:r>
                  <w:proofErr w:type="spellEnd"/>
                  <w:r w:rsidR="00E06F41" w:rsidRPr="00EF5FD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E06F41" w:rsidRPr="00EF5FDC">
                    <w:rPr>
                      <w:sz w:val="24"/>
                      <w:szCs w:val="24"/>
                    </w:rPr>
                    <w:t>Hon’ble</w:t>
                  </w:r>
                  <w:proofErr w:type="spellEnd"/>
                  <w:r w:rsidR="00E06F41" w:rsidRPr="00EF5FDC">
                    <w:rPr>
                      <w:sz w:val="24"/>
                      <w:szCs w:val="24"/>
                    </w:rPr>
                    <w:t xml:space="preserve"> Chief Minister of </w:t>
                  </w:r>
                  <w:proofErr w:type="spellStart"/>
                  <w:r w:rsidR="00E06F41" w:rsidRPr="00EF5FDC">
                    <w:rPr>
                      <w:sz w:val="24"/>
                      <w:szCs w:val="24"/>
                    </w:rPr>
                    <w:t>Odisha</w:t>
                  </w:r>
                  <w:proofErr w:type="spellEnd"/>
                  <w:r w:rsidR="00E06F41" w:rsidRPr="00EF5FDC">
                    <w:rPr>
                      <w:sz w:val="24"/>
                      <w:szCs w:val="24"/>
                    </w:rPr>
                    <w:t xml:space="preserve"> launched the NUHM program on 23</w:t>
                  </w:r>
                  <w:r w:rsidR="00E06F41" w:rsidRPr="00EF5FDC">
                    <w:rPr>
                      <w:sz w:val="24"/>
                      <w:szCs w:val="24"/>
                      <w:vertAlign w:val="superscript"/>
                    </w:rPr>
                    <w:t>rd</w:t>
                  </w:r>
                  <w:r w:rsidR="00E06F41" w:rsidRPr="00EF5FDC">
                    <w:rPr>
                      <w:sz w:val="24"/>
                      <w:szCs w:val="24"/>
                    </w:rPr>
                    <w:t xml:space="preserve"> February 2014 at Rourkela</w:t>
                  </w:r>
                  <w:r w:rsidR="00E06F41">
                    <w:rPr>
                      <w:sz w:val="24"/>
                      <w:szCs w:val="24"/>
                    </w:rPr>
                    <w:t xml:space="preserve"> city</w:t>
                  </w:r>
                  <w:r w:rsidR="00E06F41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:rsidR="00E278BE" w:rsidRDefault="00EF36F2" w:rsidP="00EF36F2">
                  <w:pPr>
                    <w:spacing w:line="360" w:lineRule="auto"/>
                    <w:jc w:val="both"/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</w:pPr>
                  <w:r w:rsidRPr="00EF36F2"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  <w:t>Coverage:</w:t>
                  </w:r>
                </w:p>
                <w:p w:rsidR="00EF36F2" w:rsidRPr="00EF36F2" w:rsidRDefault="0069703A" w:rsidP="00EF36F2">
                  <w:pPr>
                    <w:spacing w:line="360" w:lineRule="auto"/>
                    <w:jc w:val="both"/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NUHM </w:t>
                  </w:r>
                  <w:r w:rsidR="00EF36F2" w:rsidRPr="00EF36F2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>cover</w:t>
                  </w:r>
                  <w:r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s the State capital, </w:t>
                  </w:r>
                  <w:r w:rsidR="00EF36F2" w:rsidRPr="00EF36F2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District Headquarters </w:t>
                  </w:r>
                  <w:r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having more than 30000 population </w:t>
                  </w:r>
                  <w:r w:rsidR="00EF36F2" w:rsidRPr="00EF36F2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 xml:space="preserve">and Cities/towns with a population of more than 50,000. </w:t>
                  </w:r>
                  <w:r w:rsidR="0004469A"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  <w:t>The details are given below ;</w:t>
                  </w:r>
                </w:p>
                <w:p w:rsidR="00AF137A" w:rsidRDefault="00AF137A" w:rsidP="00EF36F2">
                  <w:pPr>
                    <w:spacing w:before="100" w:beforeAutospacing="1" w:after="153" w:line="360" w:lineRule="auto"/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  <w:t xml:space="preserve">NUHM mandate </w:t>
                  </w:r>
                </w:p>
                <w:tbl>
                  <w:tblPr>
                    <w:tblStyle w:val="TableGrid"/>
                    <w:tblW w:w="9478" w:type="dxa"/>
                    <w:tblLook w:val="04A0"/>
                  </w:tblPr>
                  <w:tblGrid>
                    <w:gridCol w:w="1443"/>
                    <w:gridCol w:w="4428"/>
                    <w:gridCol w:w="3607"/>
                  </w:tblGrid>
                  <w:tr w:rsidR="00417C51" w:rsidRPr="004C7107" w:rsidTr="000D2D02">
                    <w:trPr>
                      <w:trHeight w:val="342"/>
                    </w:trPr>
                    <w:tc>
                      <w:tcPr>
                        <w:tcW w:w="1443" w:type="dxa"/>
                        <w:hideMark/>
                      </w:tcPr>
                      <w:p w:rsidR="00417C51" w:rsidRPr="00DC2676" w:rsidRDefault="00417C51" w:rsidP="00417C51">
                        <w:pPr>
                          <w:jc w:val="center"/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DC2676">
                          <w:rPr>
                            <w:rFonts w:ascii="Calibri" w:eastAsia="Times New Roman" w:hAnsi="Calibri" w:cs="Times New Roman"/>
                            <w:b/>
                            <w:bCs/>
                            <w:kern w:val="24"/>
                            <w:lang w:eastAsia="en-IN"/>
                          </w:rPr>
                          <w:t xml:space="preserve">Intervention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DC2676" w:rsidRDefault="00417C51" w:rsidP="00417C51">
                        <w:pPr>
                          <w:jc w:val="center"/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DC2676">
                          <w:rPr>
                            <w:rFonts w:ascii="Calibri" w:eastAsia="Times New Roman" w:hAnsi="Calibri" w:cs="Times New Roman"/>
                            <w:b/>
                            <w:bCs/>
                            <w:kern w:val="24"/>
                            <w:lang w:eastAsia="en-IN"/>
                          </w:rPr>
                          <w:t xml:space="preserve">Norms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DC2676" w:rsidRDefault="00417C51" w:rsidP="00417C51">
                        <w:pPr>
                          <w:jc w:val="center"/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DC2676">
                          <w:rPr>
                            <w:rFonts w:ascii="Calibri" w:eastAsia="Times New Roman" w:hAnsi="Calibri" w:cs="Times New Roman"/>
                            <w:b/>
                            <w:bCs/>
                            <w:kern w:val="24"/>
                            <w:lang w:eastAsia="en-IN"/>
                          </w:rPr>
                          <w:t xml:space="preserve">Financial provision </w:t>
                        </w:r>
                      </w:p>
                    </w:tc>
                  </w:tr>
                  <w:tr w:rsidR="00417C51" w:rsidRPr="004C7107" w:rsidTr="000D2D02">
                    <w:trPr>
                      <w:trHeight w:val="1063"/>
                    </w:trPr>
                    <w:tc>
                      <w:tcPr>
                        <w:tcW w:w="1443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Urban CHC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Eligible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:Cities having more than 5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population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Each UCHC covers 2.5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  <w:proofErr w:type="gram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population</w:t>
                        </w:r>
                        <w:proofErr w:type="gram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. 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30-50  bedded facilities in each UCHC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Rs. 5.00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crs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for new building Rs. 2.00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crs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for renovation  </w:t>
                        </w:r>
                      </w:p>
                    </w:tc>
                  </w:tr>
                  <w:tr w:rsidR="00417C51" w:rsidRPr="004C7107" w:rsidTr="000D2D02">
                    <w:trPr>
                      <w:trHeight w:val="1659"/>
                    </w:trPr>
                    <w:tc>
                      <w:tcPr>
                        <w:tcW w:w="1443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Urban PHC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Each UPHC covers 50000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urban population 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HR pattern (One MO, Two part time specialist(OG,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Paediatric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), Two Staff Nurses, One LT, One pharmacist,  one PHM, one Accountant cum DA, two support staff out sourcing )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OPD services ( 8-11 AM and 5-8 PM)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lang w:eastAsia="en-IN"/>
                          </w:rPr>
                          <w:t xml:space="preserve">consultation , pathology,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lang w:eastAsia="en-IN"/>
                          </w:rPr>
                          <w:t>counselling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lang w:eastAsia="en-IN"/>
                          </w:rPr>
                          <w:t xml:space="preserve"> , Free drugs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Rs. 75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 for new building 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Rs. 10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for renovation of existing building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Provision of computer, printer  and medical equipment of Rs. </w:t>
                        </w:r>
                        <w:r w:rsidR="009D1646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2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.00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UPHC in rented building with all support </w:t>
                        </w:r>
                      </w:p>
                    </w:tc>
                  </w:tr>
                  <w:tr w:rsidR="00417C51" w:rsidRPr="004C7107" w:rsidTr="000D2D02">
                    <w:trPr>
                      <w:trHeight w:val="450"/>
                    </w:trPr>
                    <w:tc>
                      <w:tcPr>
                        <w:tcW w:w="1443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ANM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One ANM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in 10,000 population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</w:p>
                    </w:tc>
                  </w:tr>
                  <w:tr w:rsidR="00417C51" w:rsidRPr="004C7107" w:rsidTr="000D2D02">
                    <w:trPr>
                      <w:trHeight w:val="587"/>
                    </w:trPr>
                    <w:tc>
                      <w:tcPr>
                        <w:tcW w:w="1443" w:type="dxa"/>
                        <w:tcBorders>
                          <w:bottom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RKS in UCHC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tcBorders>
                          <w:bottom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In all the Urban CHC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07" w:type="dxa"/>
                        <w:tcBorders>
                          <w:bottom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Rs. 5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per annum </w:t>
                        </w:r>
                      </w:p>
                    </w:tc>
                  </w:tr>
                  <w:tr w:rsidR="00417C51" w:rsidRPr="004C7107" w:rsidTr="000D2D02">
                    <w:trPr>
                      <w:trHeight w:val="812"/>
                    </w:trPr>
                    <w:tc>
                      <w:tcPr>
                        <w:tcW w:w="1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lastRenderedPageBreak/>
                          <w:t>RKS in UPHC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In all the Urban PHC 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Rs. 1.75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per  annum for UPHC having own building Rs. 1.00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per UPHC running in rented building </w:t>
                        </w:r>
                      </w:p>
                    </w:tc>
                  </w:tr>
                  <w:tr w:rsidR="00417C51" w:rsidRPr="004C7107" w:rsidTr="000D2D02">
                    <w:trPr>
                      <w:trHeight w:val="490"/>
                    </w:trPr>
                    <w:tc>
                      <w:tcPr>
                        <w:tcW w:w="1443" w:type="dxa"/>
                        <w:tcBorders>
                          <w:top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ASHA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tcBorders>
                          <w:top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ASHA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in 1500 slum population 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" w:space="0" w:color="auto"/>
                        </w:tcBorders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Incentive based </w:t>
                        </w:r>
                      </w:p>
                    </w:tc>
                  </w:tr>
                  <w:tr w:rsidR="00417C51" w:rsidRPr="004C7107" w:rsidTr="000D2D02">
                    <w:trPr>
                      <w:trHeight w:val="779"/>
                    </w:trPr>
                    <w:tc>
                      <w:tcPr>
                        <w:tcW w:w="1443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MAS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Mahila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Arogya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Samiti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 (MAS)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in 500 slum population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United fund of Rs.5000/- per annum per MAS </w:t>
                        </w:r>
                      </w:p>
                    </w:tc>
                  </w:tr>
                  <w:tr w:rsidR="00417C51" w:rsidRPr="004C7107" w:rsidTr="000D2D02">
                    <w:trPr>
                      <w:trHeight w:val="536"/>
                    </w:trPr>
                    <w:tc>
                      <w:tcPr>
                        <w:tcW w:w="1443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WKS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Ward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Kalyan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Samiti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(WKS) 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in each ward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Untied fund of Rs. 10000/- only for BBSR( pilot basis) </w:t>
                        </w:r>
                      </w:p>
                    </w:tc>
                  </w:tr>
                  <w:tr w:rsidR="00417C51" w:rsidRPr="004C7107" w:rsidTr="000D2D02">
                    <w:trPr>
                      <w:trHeight w:val="999"/>
                    </w:trPr>
                    <w:tc>
                      <w:tcPr>
                        <w:tcW w:w="1443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Urban Heath Nutrition Day(UHND)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Monthly session 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at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Anganwadi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centre/community centre in the urban areas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Rs. 250/- per session </w:t>
                        </w:r>
                      </w:p>
                    </w:tc>
                  </w:tr>
                  <w:tr w:rsidR="00417C51" w:rsidRPr="004C7107" w:rsidTr="000D2D02">
                    <w:trPr>
                      <w:trHeight w:val="1927"/>
                    </w:trPr>
                    <w:tc>
                      <w:tcPr>
                        <w:tcW w:w="1443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Urban Mobile Health Unit (UMHU) and outreach session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For slum population,  vulnerable population 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BBSR-2, Cuttack-1 Rourkela-1, Berhampur-1, Samablpur-1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Non </w:t>
                        </w:r>
                        <w:r w:rsidR="0004469A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municipal </w:t>
                        </w: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corporation city - One camp in UPHC operational area in a month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Rs. 8.40 </w:t>
                        </w:r>
                        <w:proofErr w:type="spellStart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>lakhs</w:t>
                        </w:r>
                        <w:proofErr w:type="spellEnd"/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per annum per MHU</w:t>
                        </w:r>
                      </w:p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Outreach camp cost Rs. 10000/- </w:t>
                        </w:r>
                      </w:p>
                    </w:tc>
                  </w:tr>
                  <w:tr w:rsidR="00417C51" w:rsidRPr="00417C51" w:rsidTr="000D2D02">
                    <w:trPr>
                      <w:trHeight w:val="2155"/>
                    </w:trPr>
                    <w:tc>
                      <w:tcPr>
                        <w:tcW w:w="1443" w:type="dxa"/>
                        <w:hideMark/>
                      </w:tcPr>
                      <w:p w:rsidR="00417C51" w:rsidRPr="004C7107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 xml:space="preserve">City Health Mission/City Health Society/City Program Management Unit  </w:t>
                        </w:r>
                      </w:p>
                    </w:tc>
                    <w:tc>
                      <w:tcPr>
                        <w:tcW w:w="4428" w:type="dxa"/>
                        <w:hideMark/>
                      </w:tcPr>
                      <w:p w:rsidR="00417C51" w:rsidRPr="00417C51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  <w:r w:rsidRPr="004C7107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kern w:val="24"/>
                            <w:lang w:eastAsia="en-IN"/>
                          </w:rPr>
                          <w:t>Each Municipal corporation ( 5 cities )</w:t>
                        </w:r>
                        <w:r w:rsidRPr="00417C51">
                          <w:rPr>
                            <w:rFonts w:ascii="Calibri" w:eastAsia="Times New Roman" w:hAnsi="Calibri" w:cs="Times New Roman"/>
                            <w:color w:val="000000"/>
                            <w:kern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07" w:type="dxa"/>
                        <w:hideMark/>
                      </w:tcPr>
                      <w:p w:rsidR="00417C51" w:rsidRPr="00417C51" w:rsidRDefault="00417C51" w:rsidP="00417C51">
                        <w:pPr>
                          <w:rPr>
                            <w:rFonts w:ascii="Arial" w:eastAsia="Times New Roman" w:hAnsi="Arial" w:cs="Arial"/>
                            <w:lang w:eastAsia="en-IN"/>
                          </w:rPr>
                        </w:pPr>
                      </w:p>
                    </w:tc>
                  </w:tr>
                  <w:tr w:rsidR="00DE52FD" w:rsidRPr="00417C51" w:rsidTr="000D2D02">
                    <w:trPr>
                      <w:trHeight w:val="2155"/>
                    </w:trPr>
                    <w:tc>
                      <w:tcPr>
                        <w:tcW w:w="1443" w:type="dxa"/>
                      </w:tcPr>
                      <w:p w:rsidR="00DE52FD" w:rsidRDefault="00DE52FD" w:rsidP="00FF1CE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Special Outreach Camp</w:t>
                        </w:r>
                      </w:p>
                    </w:tc>
                    <w:tc>
                      <w:tcPr>
                        <w:tcW w:w="4428" w:type="dxa"/>
                      </w:tcPr>
                      <w:p w:rsidR="00DE52FD" w:rsidRDefault="00DE52FD" w:rsidP="00FF1CE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For the</w:t>
                        </w:r>
                        <w:r w:rsidR="0013142E">
                          <w:rPr>
                            <w:b/>
                            <w:sz w:val="24"/>
                            <w:szCs w:val="24"/>
                          </w:rPr>
                          <w:t xml:space="preserve"> city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13142E">
                          <w:rPr>
                            <w:b/>
                            <w:sz w:val="24"/>
                            <w:szCs w:val="24"/>
                          </w:rPr>
                          <w:t>where Urban PHC is exist and MHU is not provided</w:t>
                        </w:r>
                      </w:p>
                      <w:p w:rsidR="00DE52FD" w:rsidRPr="00F40B2C" w:rsidRDefault="00DE52FD" w:rsidP="00FF1CE2">
                        <w:pPr>
                          <w:rPr>
                            <w:sz w:val="24"/>
                            <w:szCs w:val="24"/>
                          </w:rPr>
                        </w:pPr>
                        <w:r w:rsidRPr="00F40B2C">
                          <w:rPr>
                            <w:sz w:val="24"/>
                            <w:szCs w:val="24"/>
                          </w:rPr>
                          <w:t>One outreach camp per UPHC per month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DE52FD" w:rsidRPr="00DB2C45" w:rsidRDefault="00DE52FD" w:rsidP="00FF1C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Rs 10,000 per camp</w:t>
                        </w:r>
                      </w:p>
                    </w:tc>
                  </w:tr>
                </w:tbl>
                <w:p w:rsidR="00AF137A" w:rsidRDefault="00AF137A" w:rsidP="00EF36F2">
                  <w:pPr>
                    <w:spacing w:before="100" w:beforeAutospacing="1" w:after="153" w:line="360" w:lineRule="auto"/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  <w:t>Major achievement</w:t>
                  </w:r>
                  <w:r w:rsidR="00A033C8"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  <w:t xml:space="preserve"> ( </w:t>
                  </w:r>
                  <w:r w:rsidR="00AC4E82"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  <w:t>as on May,2016</w:t>
                  </w:r>
                  <w:r w:rsidR="00A033C8">
                    <w:rPr>
                      <w:rFonts w:eastAsia="Times New Roman" w:cs="Arial"/>
                      <w:b/>
                      <w:bCs/>
                      <w:color w:val="111111"/>
                      <w:sz w:val="24"/>
                      <w:szCs w:val="24"/>
                      <w:lang w:eastAsia="en-IN"/>
                    </w:rPr>
                    <w:t xml:space="preserve">) </w:t>
                  </w:r>
                </w:p>
                <w:p w:rsidR="00AD120B" w:rsidRPr="00A679AD" w:rsidRDefault="00687375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hyperlink r:id="rId5" w:history="1">
                    <w:r w:rsidR="00B5664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>1</w:t>
                    </w:r>
                    <w:r w:rsidR="00E61CF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>5</w:t>
                    </w:r>
                    <w:r w:rsidR="00B5664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 xml:space="preserve"> </w:t>
                    </w:r>
                    <w:proofErr w:type="spellStart"/>
                    <w:r w:rsid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>nos</w:t>
                    </w:r>
                    <w:proofErr w:type="spellEnd"/>
                    <w:r w:rsid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 xml:space="preserve"> of </w:t>
                    </w:r>
                    <w:r w:rsidR="00A679A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>state specific guidelines developed</w:t>
                    </w:r>
                    <w:r w:rsidR="00B5664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 xml:space="preserve"> </w:t>
                    </w:r>
                  </w:hyperlink>
                  <w:r w:rsidR="00B5664D"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,</w:t>
                  </w:r>
                  <w:hyperlink r:id="rId6" w:history="1">
                    <w:r w:rsidR="0014136A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>22</w:t>
                    </w:r>
                    <w:r w:rsidR="00B5664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 xml:space="preserve"> notification/GO </w:t>
                    </w:r>
                  </w:hyperlink>
                  <w:r w:rsidR="00B5664D"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issued  </w:t>
                  </w:r>
                </w:p>
                <w:p w:rsidR="00AD120B" w:rsidRPr="00A679AD" w:rsidRDefault="00687375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hyperlink r:id="rId7" w:history="1">
                    <w:r w:rsid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>T</w:t>
                    </w:r>
                    <w:r w:rsidR="00B5664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 xml:space="preserve">raining modules </w:t>
                    </w:r>
                  </w:hyperlink>
                  <w:r w:rsidR="00B5664D"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developed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for MAS, MO, Pharmacist, ASHA, ANM,  PMU staff, ADMO </w:t>
                  </w:r>
                  <w:r w:rsidR="00810D54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(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PH</w:t>
                  </w:r>
                  <w:r w:rsidR="00810D54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)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:rsidR="00AD120B" w:rsidRPr="00A679AD" w:rsidRDefault="00687375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hyperlink r:id="rId8" w:history="1">
                    <w:r w:rsidR="00B5664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>Institutional arrangement</w:t>
                    </w:r>
                    <w:r w:rsid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 xml:space="preserve">/structure </w:t>
                    </w:r>
                    <w:r w:rsidR="00B5664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 xml:space="preserve"> </w:t>
                    </w:r>
                  </w:hyperlink>
                  <w:r w:rsidR="00B5664D"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has been 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approved by Govt. 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for 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the state &amp; 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cities </w:t>
                  </w:r>
                </w:p>
                <w:p w:rsidR="00A679AD" w:rsidRPr="00A679AD" w:rsidRDefault="00687375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hyperlink r:id="rId9" w:history="1">
                    <w:r w:rsid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>T</w:t>
                    </w:r>
                    <w:r w:rsidR="00B5664D" w:rsidRPr="00A679AD">
                      <w:rPr>
                        <w:rStyle w:val="Hyperlink"/>
                        <w:rFonts w:eastAsia="Times New Roman" w:cs="Arial"/>
                        <w:bCs/>
                        <w:color w:val="000000" w:themeColor="text1"/>
                        <w:sz w:val="24"/>
                        <w:szCs w:val="24"/>
                        <w:u w:val="none"/>
                        <w:lang w:eastAsia="en-IN"/>
                      </w:rPr>
                      <w:t xml:space="preserve">rainings program </w:t>
                    </w:r>
                  </w:hyperlink>
                  <w:r w:rsidR="00B5664D"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conducted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 for MAS, MO, Pharmacist, ASHA, ANM,  PMU staff, ADMO PH </w:t>
                  </w:r>
                </w:p>
                <w:p w:rsidR="00AD120B" w:rsidRPr="00A679AD" w:rsidRDefault="00B5664D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City Health Soci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ety formed and MOU 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has been signed w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it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h 5 municipal 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corporation 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cities for smooth 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implementation of the program </w:t>
                  </w: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:rsidR="00AD120B" w:rsidRPr="00A679AD" w:rsidRDefault="00B5664D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C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ity </w:t>
                  </w: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PMU established in 5 </w:t>
                  </w:r>
                  <w:r w:rsidR="00A033C8"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cities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and manpower placed. 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Additional one manpower placed 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at </w:t>
                  </w:r>
                  <w:r w:rsidR="00984685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DPMU to look after the urban health program at district level </w:t>
                  </w: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:rsidR="00AD120B" w:rsidRPr="00A679AD" w:rsidRDefault="00B5664D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Funds released to all CHS/DHS 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for implementation of the program </w:t>
                  </w:r>
                </w:p>
                <w:p w:rsidR="00984685" w:rsidRDefault="00984685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Proposal submitted to Govt. for establishment of </w:t>
                  </w:r>
                  <w:r w:rsidR="0014136A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39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new health institutions</w:t>
                  </w:r>
                  <w:r w:rsidR="00810D54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C23A2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(Urban Primary </w:t>
                  </w:r>
                  <w:r w:rsidR="00C23A2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lastRenderedPageBreak/>
                    <w:t>Health Centre)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out of 41</w:t>
                  </w:r>
                  <w:r w:rsidR="00C23A2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.Out of which 37 Urban PHC are </w:t>
                  </w:r>
                  <w:r w:rsidR="005C611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notified.</w:t>
                  </w:r>
                </w:p>
                <w:p w:rsidR="00984685" w:rsidRDefault="00984685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Notification has been issued for establishment of 2 new Urban CHC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:rsidR="00AD120B" w:rsidRPr="00A679AD" w:rsidRDefault="00B5664D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Renovation work </w:t>
                  </w:r>
                  <w:r w:rsidR="00131A5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completed </w:t>
                  </w:r>
                  <w:r w:rsidR="00131A5F"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in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6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UPHCs 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and renovation started in 4 UPHCs.</w:t>
                  </w: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:rsidR="00AD120B" w:rsidRDefault="00B5664D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3</w:t>
                  </w:r>
                  <w:r w:rsidR="0014136A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5</w:t>
                  </w:r>
                  <w:r w:rsidRPr="00A679AD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ULBs representatives/city/district officials are sensitised on NUHM</w:t>
                  </w:r>
                  <w:r w:rsid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out of 36</w:t>
                  </w:r>
                </w:p>
                <w:p w:rsidR="00AD120B" w:rsidRPr="00A033C8" w:rsidRDefault="00A033C8" w:rsidP="00A033C8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Slum based 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community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organisation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( </w:t>
                  </w:r>
                  <w:proofErr w:type="spellStart"/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Mahila</w:t>
                  </w:r>
                  <w:proofErr w:type="spellEnd"/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Arogya</w:t>
                  </w:r>
                  <w:proofErr w:type="spellEnd"/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Samiiti</w:t>
                  </w:r>
                  <w:proofErr w:type="spellEnd"/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)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formed in 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2711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places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,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2425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account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opened, 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2363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fund transferred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and 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2365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MAS 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have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received training </w:t>
                  </w:r>
                </w:p>
                <w:p w:rsidR="00AD120B" w:rsidRPr="00A033C8" w:rsidRDefault="002A696B" w:rsidP="00A033C8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1326 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ASHA are in positioned  &amp;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790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WKS formed </w:t>
                  </w:r>
                </w:p>
                <w:p w:rsidR="00AD120B" w:rsidRPr="00A033C8" w:rsidRDefault="002A696B" w:rsidP="00A033C8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45</w:t>
                  </w:r>
                  <w:r w:rsid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RKS formed, </w:t>
                  </w:r>
                  <w:r w:rsidR="00C70C04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45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account opened, Fund transferred to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37 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RKS,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37</w:t>
                  </w:r>
                  <w:r w:rsidR="00B5664D"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RKS started expenditure 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in the health institutions </w:t>
                  </w:r>
                </w:p>
                <w:p w:rsidR="00AD120B" w:rsidRPr="00A033C8" w:rsidRDefault="00B5664D" w:rsidP="00A033C8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UHND started in 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36</w:t>
                  </w:r>
                  <w:r w:rsidRP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cities</w:t>
                  </w:r>
                  <w:r w:rsid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and</w:t>
                  </w:r>
                  <w:r w:rsidR="00C247B5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2240</w:t>
                  </w:r>
                  <w:r w:rsid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3C12C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 w:rsid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ession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 w:rsidR="00A033C8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810D54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are </w:t>
                  </w:r>
                  <w:r w:rsidR="000266F6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conducted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per </w:t>
                  </w:r>
                  <w:r w:rsidR="00131A5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month.</w:t>
                  </w:r>
                </w:p>
                <w:p w:rsidR="00AD120B" w:rsidRDefault="00A033C8" w:rsidP="00A033C8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154B0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Slum meeting</w:t>
                  </w:r>
                  <w:r w:rsidR="00AD0037" w:rsidRPr="00154B0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 w:rsidRPr="00154B0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792AA3" w:rsidRPr="00154B0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completed</w:t>
                  </w:r>
                  <w:r w:rsidRPr="00154B0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in </w:t>
                  </w:r>
                  <w:r w:rsidR="002A696B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2014</w:t>
                  </w:r>
                  <w:r w:rsidRPr="00154B0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31A5F" w:rsidRPr="00154B0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slums.</w:t>
                  </w:r>
                </w:p>
                <w:p w:rsidR="002A696B" w:rsidRDefault="002A696B" w:rsidP="00A033C8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2360 </w:t>
                  </w:r>
                  <w:proofErr w:type="spellStart"/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swathya</w:t>
                  </w:r>
                  <w:proofErr w:type="spellEnd"/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kanth</w:t>
                  </w:r>
                  <w:r w:rsidR="00C70C04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a</w:t>
                  </w:r>
                  <w:proofErr w:type="spellEnd"/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E1708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and 154 hoarding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established</w:t>
                  </w:r>
                  <w:r w:rsidR="00E1708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in 36</w:t>
                  </w:r>
                  <w:r w:rsidR="00131A5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cities.</w:t>
                  </w:r>
                </w:p>
                <w:p w:rsidR="00A033C8" w:rsidRDefault="00A033C8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Branding of UPHC completed  </w:t>
                  </w:r>
                </w:p>
                <w:p w:rsidR="004C7107" w:rsidRDefault="004C7107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Training of ANM conducted and </w:t>
                  </w:r>
                  <w:r w:rsidR="00E4746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315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ANM received training on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6 days training module </w:t>
                  </w:r>
                </w:p>
                <w:p w:rsidR="00792AA3" w:rsidRPr="005C7573" w:rsidRDefault="00792AA3" w:rsidP="005C7573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Specialist service pro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vision has been made in </w:t>
                  </w:r>
                  <w:r w:rsidR="00E1708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30</w:t>
                  </w:r>
                  <w:r w:rsidR="00E278BE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UPHC</w:t>
                  </w:r>
                  <w:r w:rsid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s, 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E1708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40</w:t>
                  </w:r>
                  <w:r w:rsidR="003C12C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SN</w:t>
                  </w:r>
                  <w:r w:rsidR="005C7573"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, </w:t>
                  </w:r>
                  <w:r w:rsidR="00E1708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7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LT</w:t>
                  </w:r>
                  <w:r w:rsidR="003C12C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,</w:t>
                  </w:r>
                  <w:r w:rsidR="00E1708F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3</w:t>
                  </w:r>
                  <w:r w:rsidR="003C12C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pharmacist positioned </w:t>
                  </w:r>
                  <w:r w:rsidR="003C12C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under NUHM 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in </w:t>
                  </w:r>
                  <w:r w:rsidR="003C12C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the 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UPHC</w:t>
                  </w:r>
                  <w:r w:rsidR="003C12C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 w:rsidRP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:rsidR="00792AA3" w:rsidRDefault="00E1708F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233</w:t>
                  </w:r>
                  <w:r w:rsidR="00C247B5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792AA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ANM</w:t>
                  </w:r>
                  <w:r w:rsidR="00810D54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</w:t>
                  </w:r>
                  <w:r w:rsidR="00792AA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positioned </w:t>
                  </w:r>
                  <w:r w:rsid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under NUHM </w:t>
                  </w:r>
                  <w:r w:rsidR="00792AA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for outreach services </w:t>
                  </w:r>
                  <w:r w:rsidR="00AD0037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and </w:t>
                  </w:r>
                  <w:r w:rsid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in total </w:t>
                  </w: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393</w:t>
                  </w:r>
                  <w:r w:rsidR="00C247B5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AD0037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ANMs working in the </w:t>
                  </w:r>
                  <w:r w:rsidR="005C7573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urban areas </w:t>
                  </w:r>
                  <w:r w:rsidR="00AD0037"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including regular ANMs</w:t>
                  </w:r>
                </w:p>
                <w:p w:rsidR="00381A97" w:rsidRDefault="00381A97" w:rsidP="00A679AD">
                  <w:pPr>
                    <w:numPr>
                      <w:ilvl w:val="0"/>
                      <w:numId w:val="1"/>
                    </w:numPr>
                    <w:spacing w:before="100" w:beforeAutospacing="1" w:after="120" w:line="240" w:lineRule="atLeast"/>
                    <w:ind w:left="714" w:hanging="357"/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OPD scheduling in the UPHC ( morning 8-11 am and 5-8 pm ) implemented </w:t>
                  </w:r>
                </w:p>
                <w:p w:rsidR="00EF36F2" w:rsidRPr="00EF36F2" w:rsidRDefault="00C70C04" w:rsidP="00DE52F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tLeast"/>
                    <w:rPr>
                      <w:rFonts w:eastAsia="Times New Roman" w:cs="Arial"/>
                      <w:color w:val="11111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eastAsia="Times New Roman" w:cs="Arial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5 MHU are operational in 4 Corporation cities .(Bhubaneswar-2,Cuttack-1,Sambalpur-1 and Berhampur-1)</w:t>
                  </w:r>
                </w:p>
              </w:tc>
            </w:tr>
          </w:tbl>
          <w:p w:rsidR="00EF36F2" w:rsidRPr="00EF36F2" w:rsidRDefault="00EF36F2" w:rsidP="00EF36F2">
            <w:pPr>
              <w:spacing w:after="0" w:line="240" w:lineRule="auto"/>
              <w:rPr>
                <w:rFonts w:eastAsia="Times New Roman" w:cs="Arial"/>
                <w:color w:val="111111"/>
                <w:sz w:val="24"/>
                <w:szCs w:val="24"/>
                <w:lang w:eastAsia="en-IN"/>
              </w:rPr>
            </w:pPr>
          </w:p>
        </w:tc>
      </w:tr>
      <w:tr w:rsidR="00EF36F2" w:rsidRPr="00EF36F2" w:rsidTr="00E61CF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EF36F2" w:rsidRPr="00BA3BC5" w:rsidRDefault="00FF10D6" w:rsidP="00BA3BC5">
            <w:pPr>
              <w:spacing w:after="0" w:line="240" w:lineRule="auto"/>
              <w:rPr>
                <w:rFonts w:eastAsia="Times New Roman" w:cs="Arial"/>
                <w:color w:val="111111"/>
                <w:sz w:val="28"/>
                <w:szCs w:val="28"/>
                <w:lang w:eastAsia="en-IN"/>
              </w:rPr>
            </w:pPr>
            <w:r w:rsidRPr="00BA3BC5">
              <w:rPr>
                <w:b/>
                <w:sz w:val="28"/>
                <w:szCs w:val="28"/>
                <w:u w:val="single"/>
              </w:rPr>
              <w:lastRenderedPageBreak/>
              <w:t>S</w:t>
            </w:r>
            <w:r w:rsidR="00AF137A" w:rsidRPr="00BA3BC5">
              <w:rPr>
                <w:b/>
                <w:sz w:val="28"/>
                <w:szCs w:val="28"/>
                <w:u w:val="single"/>
              </w:rPr>
              <w:t>tate specif</w:t>
            </w:r>
            <w:r w:rsidR="004C7107" w:rsidRPr="00BA3BC5">
              <w:rPr>
                <w:b/>
                <w:sz w:val="28"/>
                <w:szCs w:val="28"/>
                <w:u w:val="single"/>
              </w:rPr>
              <w:t xml:space="preserve">ic guidelines </w:t>
            </w:r>
            <w:r w:rsidR="0012004E" w:rsidRPr="00BA3BC5">
              <w:rPr>
                <w:b/>
                <w:sz w:val="28"/>
                <w:szCs w:val="28"/>
                <w:u w:val="single"/>
              </w:rPr>
              <w:t>developed</w:t>
            </w:r>
            <w:r w:rsidR="00EF36F2" w:rsidRPr="00BA3BC5">
              <w:rPr>
                <w:b/>
                <w:sz w:val="28"/>
                <w:szCs w:val="28"/>
                <w:u w:val="single"/>
              </w:rPr>
              <w:t>:</w:t>
            </w:r>
            <w:r w:rsidRPr="00BA3BC5">
              <w:rPr>
                <w:rFonts w:eastAsia="Times New Roman" w:cs="Arial"/>
                <w:color w:val="111111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EF36F2" w:rsidRPr="00EF36F2" w:rsidTr="00E61CFD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Style w:val="TableGrid"/>
              <w:tblW w:w="9690" w:type="dxa"/>
              <w:tblInd w:w="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/>
            </w:tblPr>
            <w:tblGrid>
              <w:gridCol w:w="9690"/>
            </w:tblGrid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Pr="004722BF">
                    <w:rPr>
                      <w:sz w:val="24"/>
                      <w:szCs w:val="24"/>
                    </w:rPr>
                    <w:tab/>
                    <w:t>Urban ASHA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2.</w:t>
                  </w:r>
                  <w:r w:rsidRPr="004722BF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Mahila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Arogya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Samiti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>(MAS)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3.</w:t>
                  </w:r>
                  <w:r w:rsidRPr="004722BF">
                    <w:rPr>
                      <w:sz w:val="24"/>
                      <w:szCs w:val="24"/>
                    </w:rPr>
                    <w:tab/>
                    <w:t xml:space="preserve">Ward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Kalyan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Samiti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(WKS)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4.</w:t>
                  </w:r>
                  <w:r w:rsidRPr="004722BF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Rogi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Kalyan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Samiti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– Memorandum and  rules and regulation of UPHC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5.</w:t>
                  </w:r>
                  <w:r w:rsidRPr="004722BF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Rogi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Kalyan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Samiti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– Memorandum and rules and regulation of  UCHC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6.</w:t>
                  </w:r>
                  <w:r w:rsidRPr="004722BF">
                    <w:rPr>
                      <w:sz w:val="24"/>
                      <w:szCs w:val="24"/>
                    </w:rPr>
                    <w:tab/>
                    <w:t>Formation of City Health Mission/City    Health Society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7.</w:t>
                  </w:r>
                  <w:r w:rsidRPr="004722BF">
                    <w:rPr>
                      <w:sz w:val="24"/>
                      <w:szCs w:val="24"/>
                    </w:rPr>
                    <w:tab/>
                    <w:t>Urban Health Nutrition Day (UHND)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8.</w:t>
                  </w:r>
                  <w:r w:rsidRPr="004722BF">
                    <w:rPr>
                      <w:sz w:val="24"/>
                      <w:szCs w:val="24"/>
                    </w:rPr>
                    <w:tab/>
                    <w:t>Urban Mobile Health Unit (UMHU)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9.</w:t>
                  </w:r>
                  <w:r w:rsidRPr="004722BF">
                    <w:rPr>
                      <w:sz w:val="24"/>
                      <w:szCs w:val="24"/>
                    </w:rPr>
                    <w:tab/>
                    <w:t xml:space="preserve">Financial guidelines for </w:t>
                  </w:r>
                  <w:proofErr w:type="spellStart"/>
                  <w:r w:rsidRPr="004722BF">
                    <w:rPr>
                      <w:sz w:val="24"/>
                      <w:szCs w:val="24"/>
                    </w:rPr>
                    <w:t>utilisation</w:t>
                  </w:r>
                  <w:proofErr w:type="spellEnd"/>
                  <w:r w:rsidRPr="004722BF">
                    <w:rPr>
                      <w:sz w:val="24"/>
                      <w:szCs w:val="24"/>
                    </w:rPr>
                    <w:t xml:space="preserve"> of RKS  fund in UPHC/UCHC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10.</w:t>
                  </w:r>
                  <w:r w:rsidRPr="004722BF">
                    <w:rPr>
                      <w:sz w:val="24"/>
                      <w:szCs w:val="24"/>
                    </w:rPr>
                    <w:tab/>
                    <w:t>Guidelines for purchase of equipment for   ANM and UPHC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11.</w:t>
                  </w:r>
                  <w:r w:rsidRPr="004722BF">
                    <w:rPr>
                      <w:sz w:val="24"/>
                      <w:szCs w:val="24"/>
                    </w:rPr>
                    <w:tab/>
                    <w:t xml:space="preserve">Financial guidelines on NUHM 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12.</w:t>
                  </w:r>
                  <w:r w:rsidRPr="004722BF">
                    <w:rPr>
                      <w:sz w:val="24"/>
                      <w:szCs w:val="24"/>
                    </w:rPr>
                    <w:tab/>
                    <w:t xml:space="preserve">Financial guidelines for MAS and RKS 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13.</w:t>
                  </w:r>
                  <w:r w:rsidRPr="004722BF">
                    <w:rPr>
                      <w:sz w:val="24"/>
                      <w:szCs w:val="24"/>
                    </w:rPr>
                    <w:tab/>
                    <w:t xml:space="preserve">IEC/BCC guidelines </w:t>
                  </w:r>
                </w:p>
              </w:tc>
            </w:tr>
            <w:tr w:rsidR="00E1708F" w:rsidRPr="004722BF" w:rsidTr="008A2C45">
              <w:tc>
                <w:tcPr>
                  <w:tcW w:w="9690" w:type="dxa"/>
                  <w:shd w:val="clear" w:color="auto" w:fill="FFFFFF" w:themeFill="background1"/>
                </w:tcPr>
                <w:p w:rsidR="00E1708F" w:rsidRDefault="00E1708F" w:rsidP="008A2C45">
                  <w:pPr>
                    <w:rPr>
                      <w:sz w:val="24"/>
                      <w:szCs w:val="24"/>
                    </w:rPr>
                  </w:pPr>
                  <w:r w:rsidRPr="004722BF">
                    <w:rPr>
                      <w:sz w:val="24"/>
                      <w:szCs w:val="24"/>
                    </w:rPr>
                    <w:t>14.</w:t>
                  </w:r>
                  <w:r w:rsidRPr="004722BF">
                    <w:rPr>
                      <w:sz w:val="24"/>
                      <w:szCs w:val="24"/>
                    </w:rPr>
                    <w:tab/>
                    <w:t>Engagement of part time specialists</w:t>
                  </w:r>
                </w:p>
                <w:p w:rsidR="00E1708F" w:rsidRPr="004722BF" w:rsidRDefault="00E1708F" w:rsidP="008A2C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        Service Delivery Framework for UPHC</w:t>
                  </w:r>
                </w:p>
              </w:tc>
            </w:tr>
          </w:tbl>
          <w:p w:rsidR="00E1708F" w:rsidRDefault="00E1708F" w:rsidP="00E1708F"/>
          <w:p w:rsidR="00624BD6" w:rsidRDefault="00624BD6" w:rsidP="00E1708F"/>
          <w:p w:rsidR="00624BD6" w:rsidRDefault="00624BD6" w:rsidP="00E1708F"/>
          <w:p w:rsidR="00FF10D6" w:rsidRPr="00EF36F2" w:rsidRDefault="00FF10D6" w:rsidP="00EF36F2">
            <w:pPr>
              <w:spacing w:after="0" w:line="240" w:lineRule="auto"/>
              <w:rPr>
                <w:rFonts w:eastAsia="Times New Roman" w:cs="Arial"/>
                <w:color w:val="111111"/>
                <w:sz w:val="24"/>
                <w:szCs w:val="24"/>
                <w:lang w:eastAsia="en-IN"/>
              </w:rPr>
            </w:pPr>
          </w:p>
        </w:tc>
      </w:tr>
      <w:tr w:rsidR="00EF36F2" w:rsidRPr="00EF36F2" w:rsidTr="00E61CF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EF36F2" w:rsidRPr="00EF36F2" w:rsidRDefault="00EF36F2" w:rsidP="00EF36F2">
            <w:pPr>
              <w:spacing w:after="0" w:line="240" w:lineRule="auto"/>
              <w:rPr>
                <w:rFonts w:eastAsia="Times New Roman" w:cs="Arial"/>
                <w:color w:val="111111"/>
                <w:sz w:val="24"/>
                <w:szCs w:val="24"/>
                <w:lang w:eastAsia="en-IN"/>
              </w:rPr>
            </w:pPr>
          </w:p>
        </w:tc>
      </w:tr>
      <w:tr w:rsidR="00EF36F2" w:rsidRPr="00EF36F2" w:rsidTr="00E61CF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EF36F2" w:rsidRPr="00EF36F2" w:rsidRDefault="00EF36F2" w:rsidP="00EF36F2">
            <w:pPr>
              <w:spacing w:after="0" w:line="240" w:lineRule="auto"/>
              <w:rPr>
                <w:rFonts w:eastAsia="Times New Roman" w:cs="Arial"/>
                <w:color w:val="111111"/>
                <w:sz w:val="24"/>
                <w:szCs w:val="24"/>
                <w:lang w:eastAsia="en-IN"/>
              </w:rPr>
            </w:pPr>
          </w:p>
        </w:tc>
      </w:tr>
      <w:tr w:rsidR="00EF36F2" w:rsidRPr="00EF36F2" w:rsidTr="00E61CF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EF36F2" w:rsidRPr="00EF36F2" w:rsidRDefault="00EF36F2" w:rsidP="00EF36F2">
            <w:pPr>
              <w:spacing w:after="0" w:line="240" w:lineRule="auto"/>
              <w:jc w:val="right"/>
              <w:rPr>
                <w:rFonts w:eastAsia="Times New Roman" w:cs="Arial"/>
                <w:color w:val="111111"/>
                <w:sz w:val="24"/>
                <w:szCs w:val="24"/>
                <w:lang w:eastAsia="en-IN"/>
              </w:rPr>
            </w:pPr>
          </w:p>
        </w:tc>
      </w:tr>
    </w:tbl>
    <w:p w:rsidR="00E61CFD" w:rsidRPr="00856C10" w:rsidRDefault="00E61CFD" w:rsidP="00DE52FD">
      <w:pPr>
        <w:spacing w:after="100" w:afterAutospacing="1" w:line="240" w:lineRule="auto"/>
        <w:rPr>
          <w:b/>
          <w:sz w:val="28"/>
          <w:szCs w:val="28"/>
          <w:u w:val="single"/>
        </w:rPr>
      </w:pPr>
      <w:r w:rsidRPr="00856C10">
        <w:rPr>
          <w:b/>
          <w:sz w:val="28"/>
          <w:szCs w:val="28"/>
          <w:u w:val="single"/>
        </w:rPr>
        <w:lastRenderedPageBreak/>
        <w:t>List of Notifications</w:t>
      </w:r>
      <w:r w:rsidR="00624BD6" w:rsidRPr="00856C10">
        <w:rPr>
          <w:b/>
          <w:sz w:val="28"/>
          <w:szCs w:val="28"/>
          <w:u w:val="single"/>
        </w:rPr>
        <w:t xml:space="preserve"> Issued </w:t>
      </w:r>
    </w:p>
    <w:tbl>
      <w:tblPr>
        <w:tblStyle w:val="TableGrid"/>
        <w:tblpPr w:leftFromText="180" w:rightFromText="180" w:vertAnchor="page" w:horzAnchor="margin" w:tblpY="2161"/>
        <w:tblW w:w="9464" w:type="dxa"/>
        <w:tblLayout w:type="fixed"/>
        <w:tblLook w:val="04A0"/>
      </w:tblPr>
      <w:tblGrid>
        <w:gridCol w:w="534"/>
        <w:gridCol w:w="1417"/>
        <w:gridCol w:w="5812"/>
        <w:gridCol w:w="1701"/>
      </w:tblGrid>
      <w:tr w:rsidR="00E61CFD" w:rsidRPr="005446AD" w:rsidTr="00DE52FD">
        <w:trPr>
          <w:trHeight w:val="706"/>
        </w:trPr>
        <w:tc>
          <w:tcPr>
            <w:tcW w:w="534" w:type="dxa"/>
            <w:hideMark/>
          </w:tcPr>
          <w:p w:rsidR="00E61CFD" w:rsidRPr="005446AD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446AD">
              <w:rPr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17" w:type="dxa"/>
            <w:hideMark/>
          </w:tcPr>
          <w:p w:rsidR="00E61CFD" w:rsidRPr="005446AD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446AD">
              <w:rPr>
                <w:b/>
                <w:bCs/>
                <w:sz w:val="24"/>
                <w:szCs w:val="24"/>
              </w:rPr>
              <w:t>Date of Notification</w:t>
            </w:r>
          </w:p>
        </w:tc>
        <w:tc>
          <w:tcPr>
            <w:tcW w:w="5812" w:type="dxa"/>
            <w:hideMark/>
          </w:tcPr>
          <w:p w:rsidR="00E61CFD" w:rsidRPr="005446AD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446AD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701" w:type="dxa"/>
            <w:hideMark/>
          </w:tcPr>
          <w:p w:rsidR="00E61CFD" w:rsidRPr="005446AD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446AD">
              <w:rPr>
                <w:b/>
                <w:bCs/>
                <w:sz w:val="24"/>
                <w:szCs w:val="24"/>
              </w:rPr>
              <w:t>Notification</w:t>
            </w:r>
            <w:r>
              <w:rPr>
                <w:b/>
                <w:bCs/>
                <w:sz w:val="24"/>
                <w:szCs w:val="24"/>
              </w:rPr>
              <w:t>/ Order</w:t>
            </w:r>
            <w:r w:rsidRPr="005446AD">
              <w:rPr>
                <w:b/>
                <w:bCs/>
                <w:sz w:val="24"/>
                <w:szCs w:val="24"/>
              </w:rPr>
              <w:t xml:space="preserve"> No.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16/8/2013</w:t>
            </w:r>
          </w:p>
        </w:tc>
        <w:tc>
          <w:tcPr>
            <w:tcW w:w="5812" w:type="dxa"/>
            <w:hideMark/>
          </w:tcPr>
          <w:p w:rsidR="00E61CFD" w:rsidRPr="00E61E1F" w:rsidRDefault="00E61CFD" w:rsidP="008A2C45">
            <w:pPr>
              <w:spacing w:after="200" w:line="276" w:lineRule="auto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 xml:space="preserve">Implementation of NUHM program in 30 district and 11 cities </w:t>
            </w:r>
          </w:p>
        </w:tc>
        <w:tc>
          <w:tcPr>
            <w:tcW w:w="1701" w:type="dxa"/>
            <w:hideMark/>
          </w:tcPr>
          <w:p w:rsidR="00E61CFD" w:rsidRPr="009F2A6D" w:rsidRDefault="00E61CFD" w:rsidP="008A2C45">
            <w:pPr>
              <w:spacing w:after="200" w:line="276" w:lineRule="auto"/>
              <w:jc w:val="center"/>
            </w:pPr>
            <w:r w:rsidRPr="009F2A6D">
              <w:t>23655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16/8/2013</w:t>
            </w:r>
          </w:p>
        </w:tc>
        <w:tc>
          <w:tcPr>
            <w:tcW w:w="5812" w:type="dxa"/>
            <w:hideMark/>
          </w:tcPr>
          <w:p w:rsidR="00E61CFD" w:rsidRPr="00E61E1F" w:rsidRDefault="00E61CFD" w:rsidP="008A2C45">
            <w:pPr>
              <w:spacing w:after="200" w:line="276" w:lineRule="auto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 xml:space="preserve">Establishment of City Health Mission and City Health Society in 4 cities </w:t>
            </w:r>
          </w:p>
        </w:tc>
        <w:tc>
          <w:tcPr>
            <w:tcW w:w="1701" w:type="dxa"/>
            <w:hideMark/>
          </w:tcPr>
          <w:p w:rsidR="00E61CFD" w:rsidRPr="009F2A6D" w:rsidRDefault="00E61CFD" w:rsidP="008A2C45">
            <w:pPr>
              <w:spacing w:after="200" w:line="276" w:lineRule="auto"/>
              <w:jc w:val="center"/>
            </w:pPr>
            <w:r w:rsidRPr="009F2A6D">
              <w:t>23653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16/8/2013</w:t>
            </w:r>
          </w:p>
        </w:tc>
        <w:tc>
          <w:tcPr>
            <w:tcW w:w="5812" w:type="dxa"/>
            <w:hideMark/>
          </w:tcPr>
          <w:p w:rsidR="00E61CFD" w:rsidRPr="00E61E1F" w:rsidRDefault="00E61CFD" w:rsidP="008A2C45">
            <w:pPr>
              <w:spacing w:after="200" w:line="276" w:lineRule="auto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 xml:space="preserve">Establishment of State Program Management Unit and City </w:t>
            </w:r>
            <w:proofErr w:type="spellStart"/>
            <w:r w:rsidRPr="00E61E1F">
              <w:rPr>
                <w:sz w:val="24"/>
                <w:szCs w:val="24"/>
              </w:rPr>
              <w:t>Programme</w:t>
            </w:r>
            <w:proofErr w:type="spellEnd"/>
            <w:r w:rsidRPr="00E61E1F">
              <w:rPr>
                <w:sz w:val="24"/>
                <w:szCs w:val="24"/>
              </w:rPr>
              <w:t xml:space="preserve"> Management Unit in 4 cities </w:t>
            </w:r>
          </w:p>
        </w:tc>
        <w:tc>
          <w:tcPr>
            <w:tcW w:w="1701" w:type="dxa"/>
            <w:hideMark/>
          </w:tcPr>
          <w:p w:rsidR="00E61CFD" w:rsidRPr="009F2A6D" w:rsidRDefault="00E61CFD" w:rsidP="008A2C45">
            <w:pPr>
              <w:spacing w:after="200" w:line="276" w:lineRule="auto"/>
              <w:jc w:val="center"/>
            </w:pPr>
            <w:r w:rsidRPr="009F2A6D">
              <w:t>23651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03/03/2014</w:t>
            </w:r>
          </w:p>
        </w:tc>
        <w:tc>
          <w:tcPr>
            <w:tcW w:w="5812" w:type="dxa"/>
            <w:hideMark/>
          </w:tcPr>
          <w:p w:rsidR="00E61CFD" w:rsidRPr="00E61E1F" w:rsidRDefault="00E61CFD" w:rsidP="008A2C45">
            <w:pPr>
              <w:spacing w:after="200" w:line="276" w:lineRule="auto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43 public health facilities</w:t>
            </w:r>
            <w:r>
              <w:rPr>
                <w:sz w:val="24"/>
                <w:szCs w:val="24"/>
              </w:rPr>
              <w:t xml:space="preserve"> </w:t>
            </w:r>
            <w:r w:rsidRPr="00E61E1F">
              <w:rPr>
                <w:sz w:val="24"/>
                <w:szCs w:val="24"/>
              </w:rPr>
              <w:t>(</w:t>
            </w:r>
            <w:proofErr w:type="spellStart"/>
            <w:r w:rsidRPr="00E61E1F">
              <w:rPr>
                <w:sz w:val="24"/>
                <w:szCs w:val="24"/>
              </w:rPr>
              <w:t>Allopathy</w:t>
            </w:r>
            <w:proofErr w:type="spellEnd"/>
            <w:r w:rsidRPr="00E61E1F">
              <w:rPr>
                <w:sz w:val="24"/>
                <w:szCs w:val="24"/>
              </w:rPr>
              <w:t xml:space="preserve">) functioning in various nomenclature which are being managed by H&amp; FW Dept. and H&amp;UD Dept. are declared as </w:t>
            </w:r>
            <w:r>
              <w:rPr>
                <w:sz w:val="24"/>
                <w:szCs w:val="24"/>
              </w:rPr>
              <w:t>“</w:t>
            </w:r>
            <w:r w:rsidRPr="0019436F">
              <w:rPr>
                <w:b/>
                <w:sz w:val="24"/>
                <w:szCs w:val="24"/>
              </w:rPr>
              <w:t>Urban Primary Health Centre</w:t>
            </w:r>
            <w:r w:rsidRPr="00E61E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701" w:type="dxa"/>
            <w:hideMark/>
          </w:tcPr>
          <w:p w:rsidR="00E61CFD" w:rsidRPr="009F2A6D" w:rsidRDefault="00E61CFD" w:rsidP="008A2C45">
            <w:pPr>
              <w:spacing w:after="200" w:line="276" w:lineRule="auto"/>
              <w:jc w:val="center"/>
            </w:pPr>
            <w:r>
              <w:t>5993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03/03/2014</w:t>
            </w:r>
          </w:p>
        </w:tc>
        <w:tc>
          <w:tcPr>
            <w:tcW w:w="5812" w:type="dxa"/>
            <w:hideMark/>
          </w:tcPr>
          <w:p w:rsidR="00E61CFD" w:rsidRPr="00E61E1F" w:rsidRDefault="00E61CFD" w:rsidP="008A2C45">
            <w:pPr>
              <w:spacing w:after="200" w:line="276" w:lineRule="auto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 xml:space="preserve">ADMO(PH) declared as Nodal Officer for implementation of NUHM </w:t>
            </w:r>
            <w:proofErr w:type="spellStart"/>
            <w:r w:rsidRPr="00E61E1F">
              <w:rPr>
                <w:sz w:val="24"/>
                <w:szCs w:val="24"/>
              </w:rPr>
              <w:t>programme</w:t>
            </w:r>
            <w:proofErr w:type="spellEnd"/>
            <w:r w:rsidRPr="00E61E1F">
              <w:rPr>
                <w:sz w:val="24"/>
                <w:szCs w:val="24"/>
              </w:rPr>
              <w:t xml:space="preserve"> at city and district level </w:t>
            </w:r>
          </w:p>
        </w:tc>
        <w:tc>
          <w:tcPr>
            <w:tcW w:w="1701" w:type="dxa"/>
            <w:hideMark/>
          </w:tcPr>
          <w:p w:rsidR="00E61CFD" w:rsidRPr="009F2A6D" w:rsidRDefault="00E61CFD" w:rsidP="008A2C45">
            <w:pPr>
              <w:spacing w:after="200" w:line="276" w:lineRule="auto"/>
              <w:jc w:val="center"/>
            </w:pPr>
            <w:r w:rsidRPr="009F2A6D">
              <w:t>5999</w:t>
            </w:r>
          </w:p>
        </w:tc>
      </w:tr>
      <w:tr w:rsidR="00E61CFD" w:rsidRPr="009F2A6D" w:rsidTr="00DE52FD">
        <w:trPr>
          <w:trHeight w:val="250"/>
        </w:trPr>
        <w:tc>
          <w:tcPr>
            <w:tcW w:w="534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12/5/2014</w:t>
            </w:r>
          </w:p>
        </w:tc>
        <w:tc>
          <w:tcPr>
            <w:tcW w:w="5812" w:type="dxa"/>
            <w:hideMark/>
          </w:tcPr>
          <w:p w:rsidR="00E61CFD" w:rsidRPr="00E61E1F" w:rsidRDefault="00E61CFD" w:rsidP="008A2C45">
            <w:pPr>
              <w:spacing w:after="200" w:line="276" w:lineRule="auto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 xml:space="preserve">Approval of Bye-law/Guidelines </w:t>
            </w:r>
          </w:p>
        </w:tc>
        <w:tc>
          <w:tcPr>
            <w:tcW w:w="1701" w:type="dxa"/>
            <w:hideMark/>
          </w:tcPr>
          <w:p w:rsidR="00E61CFD" w:rsidRPr="009F2A6D" w:rsidRDefault="00E61CFD" w:rsidP="008A2C45">
            <w:pPr>
              <w:spacing w:after="200" w:line="276" w:lineRule="auto"/>
              <w:jc w:val="center"/>
            </w:pPr>
            <w:r w:rsidRPr="009F2A6D">
              <w:t>12461</w:t>
            </w:r>
          </w:p>
        </w:tc>
      </w:tr>
      <w:tr w:rsidR="00E61CFD" w:rsidRPr="009F2A6D" w:rsidTr="00DE52FD">
        <w:trPr>
          <w:trHeight w:val="1191"/>
        </w:trPr>
        <w:tc>
          <w:tcPr>
            <w:tcW w:w="534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:rsidR="00E61CFD" w:rsidRPr="00E61E1F" w:rsidRDefault="00E61CFD" w:rsidP="008A2C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18/2/2015</w:t>
            </w:r>
          </w:p>
        </w:tc>
        <w:tc>
          <w:tcPr>
            <w:tcW w:w="5812" w:type="dxa"/>
            <w:hideMark/>
          </w:tcPr>
          <w:p w:rsidR="00E61CFD" w:rsidRPr="00E61E1F" w:rsidRDefault="00E61CFD" w:rsidP="008A2C45">
            <w:pPr>
              <w:spacing w:after="200" w:line="276" w:lineRule="auto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14 public health facilities(</w:t>
            </w:r>
            <w:proofErr w:type="spellStart"/>
            <w:r w:rsidRPr="00E61E1F">
              <w:rPr>
                <w:sz w:val="24"/>
                <w:szCs w:val="24"/>
              </w:rPr>
              <w:t>Allopathy</w:t>
            </w:r>
            <w:proofErr w:type="spellEnd"/>
            <w:r w:rsidRPr="00E61E1F">
              <w:rPr>
                <w:sz w:val="24"/>
                <w:szCs w:val="24"/>
              </w:rPr>
              <w:t xml:space="preserve">) functioning in various nomenclature which are being managed by H&amp; FW Dept. and H&amp;UD Dept. are declared as </w:t>
            </w:r>
            <w:r>
              <w:rPr>
                <w:sz w:val="24"/>
                <w:szCs w:val="24"/>
              </w:rPr>
              <w:t>“</w:t>
            </w:r>
            <w:r w:rsidRPr="0019436F">
              <w:rPr>
                <w:b/>
                <w:sz w:val="24"/>
                <w:szCs w:val="24"/>
              </w:rPr>
              <w:t>Urban Primary Health Centre</w:t>
            </w:r>
            <w:r w:rsidRPr="00E61E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701" w:type="dxa"/>
            <w:hideMark/>
          </w:tcPr>
          <w:p w:rsidR="00E61CFD" w:rsidRPr="009F2A6D" w:rsidRDefault="00E61CFD" w:rsidP="008A2C45">
            <w:pPr>
              <w:spacing w:after="200" w:line="276" w:lineRule="auto"/>
              <w:jc w:val="center"/>
            </w:pPr>
            <w:r w:rsidRPr="009F2A6D">
              <w:t>3371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Pr="00E61E1F" w:rsidRDefault="00E61CFD" w:rsidP="008A2C45">
            <w:pPr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61CFD" w:rsidRPr="00E61E1F" w:rsidRDefault="00E61CFD" w:rsidP="008A2C45">
            <w:pPr>
              <w:jc w:val="center"/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>26/2/2015</w:t>
            </w:r>
          </w:p>
        </w:tc>
        <w:tc>
          <w:tcPr>
            <w:tcW w:w="5812" w:type="dxa"/>
          </w:tcPr>
          <w:p w:rsidR="00E61CFD" w:rsidRPr="00E61E1F" w:rsidRDefault="00E61CFD" w:rsidP="008A2C45">
            <w:pPr>
              <w:rPr>
                <w:sz w:val="24"/>
                <w:szCs w:val="24"/>
              </w:rPr>
            </w:pPr>
            <w:r w:rsidRPr="00E61E1F">
              <w:rPr>
                <w:sz w:val="24"/>
                <w:szCs w:val="24"/>
              </w:rPr>
              <w:t xml:space="preserve">Establishment of City Health Mission and City Health Society in </w:t>
            </w:r>
            <w:proofErr w:type="spellStart"/>
            <w:r w:rsidRPr="00E61E1F">
              <w:rPr>
                <w:sz w:val="24"/>
                <w:szCs w:val="24"/>
              </w:rPr>
              <w:t>Sambalpur</w:t>
            </w:r>
            <w:proofErr w:type="spellEnd"/>
            <w:r w:rsidRPr="00E61E1F">
              <w:rPr>
                <w:sz w:val="24"/>
                <w:szCs w:val="24"/>
              </w:rPr>
              <w:t xml:space="preserve"> city</w:t>
            </w:r>
          </w:p>
        </w:tc>
        <w:tc>
          <w:tcPr>
            <w:tcW w:w="1701" w:type="dxa"/>
          </w:tcPr>
          <w:p w:rsidR="00E61CFD" w:rsidRPr="009F2A6D" w:rsidRDefault="00E61CFD" w:rsidP="008A2C45">
            <w:pPr>
              <w:jc w:val="center"/>
            </w:pPr>
            <w:r>
              <w:t>4330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Pr="00E61E1F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61CFD" w:rsidRPr="00E61E1F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27/2/2015</w:t>
            </w:r>
          </w:p>
        </w:tc>
        <w:tc>
          <w:tcPr>
            <w:tcW w:w="5812" w:type="dxa"/>
          </w:tcPr>
          <w:p w:rsidR="00E61CFD" w:rsidRPr="00E61E1F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 of Memorandum of Association of RKS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</w:pPr>
            <w:r>
              <w:t>4485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Pr="00E61E1F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61CFD" w:rsidRPr="006C288D" w:rsidRDefault="00E61CFD" w:rsidP="008A2C45">
            <w:pPr>
              <w:jc w:val="center"/>
              <w:rPr>
                <w:sz w:val="24"/>
                <w:szCs w:val="24"/>
              </w:rPr>
            </w:pPr>
            <w:r w:rsidRPr="006C288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9/3/2015</w:t>
            </w:r>
          </w:p>
        </w:tc>
        <w:tc>
          <w:tcPr>
            <w:tcW w:w="5812" w:type="dxa"/>
          </w:tcPr>
          <w:p w:rsidR="00E61CFD" w:rsidRPr="00E61E1F" w:rsidRDefault="00E61CFD" w:rsidP="008A2C45">
            <w:pPr>
              <w:rPr>
                <w:sz w:val="24"/>
                <w:szCs w:val="24"/>
              </w:rPr>
            </w:pPr>
            <w:proofErr w:type="spellStart"/>
            <w:r w:rsidRPr="00781832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Bidanasi</w:t>
            </w:r>
            <w:proofErr w:type="spellEnd"/>
            <w:r w:rsidRPr="00781832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Dispensary,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781832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Cuttack declared as UCHC &amp; </w:t>
            </w:r>
            <w:proofErr w:type="spellStart"/>
            <w:r w:rsidRPr="00781832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Chauliaganja</w:t>
            </w:r>
            <w:proofErr w:type="spellEnd"/>
            <w:r w:rsidRPr="00781832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Di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s</w:t>
            </w:r>
            <w:r w:rsidRPr="00781832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pensary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Cuttack </w:t>
            </w:r>
            <w:r w:rsidRPr="00781832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declared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as UPHC.</w:t>
            </w:r>
          </w:p>
        </w:tc>
        <w:tc>
          <w:tcPr>
            <w:tcW w:w="1701" w:type="dxa"/>
          </w:tcPr>
          <w:p w:rsidR="00E61CFD" w:rsidRPr="006C288D" w:rsidRDefault="00E61CFD" w:rsidP="008A2C45">
            <w:pPr>
              <w:jc w:val="center"/>
            </w:pPr>
            <w:r w:rsidRPr="006C288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5101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61CFD" w:rsidRPr="006C288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30/3/2015</w:t>
            </w:r>
          </w:p>
        </w:tc>
        <w:tc>
          <w:tcPr>
            <w:tcW w:w="5812" w:type="dxa"/>
          </w:tcPr>
          <w:p w:rsidR="00E61CFD" w:rsidRPr="00781832" w:rsidRDefault="00E61CFD" w:rsidP="008A2C45">
            <w:pP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Reconstitution of City level Committee for selection of ASHA &amp; formation of MAS </w:t>
            </w:r>
          </w:p>
        </w:tc>
        <w:tc>
          <w:tcPr>
            <w:tcW w:w="1701" w:type="dxa"/>
          </w:tcPr>
          <w:p w:rsidR="00E61CFD" w:rsidRPr="006C288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6694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6/4/2015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Reconstitution of Core committee for Amalgamation of Health Institutions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6982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15/4/2015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Adherence to the schedule of OPD at UPHCs as notified by Govt. vide Notification No.5993 dated 3/3/2014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7509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24/4/2015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 of Memorandum of Association of RKS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5311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28/4/2015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 in WKS Guideline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8419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9/6/15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for urban health structure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13022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9/6/15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Establishment of UCHC at CDA, Cuttack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13015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14/9/15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for 20 UPHCs in different cities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20663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28/10/15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for UPHC in rented building in KFA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23248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31/10/15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Delivery Framework of UPHC/UCHC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23556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26/12/2015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for 10 UPHCs in different cities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27109</w:t>
            </w:r>
          </w:p>
        </w:tc>
      </w:tr>
      <w:tr w:rsidR="00E61CFD" w:rsidRPr="009F2A6D" w:rsidTr="00DE52FD">
        <w:trPr>
          <w:trHeight w:val="584"/>
        </w:trPr>
        <w:tc>
          <w:tcPr>
            <w:tcW w:w="534" w:type="dxa"/>
          </w:tcPr>
          <w:p w:rsidR="00E61CFD" w:rsidRDefault="00E61CFD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25/1/2016</w:t>
            </w:r>
          </w:p>
        </w:tc>
        <w:tc>
          <w:tcPr>
            <w:tcW w:w="5812" w:type="dxa"/>
          </w:tcPr>
          <w:p w:rsidR="00E61CFD" w:rsidRDefault="00E61CFD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Strengthening of Urban Family Welfare Centre </w:t>
            </w:r>
          </w:p>
        </w:tc>
        <w:tc>
          <w:tcPr>
            <w:tcW w:w="1701" w:type="dxa"/>
          </w:tcPr>
          <w:p w:rsidR="00E61CFD" w:rsidRDefault="00E61CFD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1830</w:t>
            </w:r>
          </w:p>
        </w:tc>
      </w:tr>
      <w:tr w:rsidR="00ED442A" w:rsidRPr="009F2A6D" w:rsidTr="00DE52FD">
        <w:trPr>
          <w:trHeight w:val="584"/>
        </w:trPr>
        <w:tc>
          <w:tcPr>
            <w:tcW w:w="534" w:type="dxa"/>
          </w:tcPr>
          <w:p w:rsidR="00ED442A" w:rsidRDefault="00ED442A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D442A" w:rsidRDefault="00ED442A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29/2/2016</w:t>
            </w:r>
          </w:p>
        </w:tc>
        <w:tc>
          <w:tcPr>
            <w:tcW w:w="5812" w:type="dxa"/>
          </w:tcPr>
          <w:p w:rsidR="00ED442A" w:rsidRDefault="00ED442A" w:rsidP="00ED4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for 5 UPHCs in different cities</w:t>
            </w:r>
          </w:p>
        </w:tc>
        <w:tc>
          <w:tcPr>
            <w:tcW w:w="1701" w:type="dxa"/>
          </w:tcPr>
          <w:p w:rsidR="00ED442A" w:rsidRDefault="00ED442A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4202</w:t>
            </w:r>
          </w:p>
        </w:tc>
      </w:tr>
      <w:tr w:rsidR="00ED442A" w:rsidRPr="009F2A6D" w:rsidTr="00DE52FD">
        <w:trPr>
          <w:trHeight w:val="584"/>
        </w:trPr>
        <w:tc>
          <w:tcPr>
            <w:tcW w:w="534" w:type="dxa"/>
          </w:tcPr>
          <w:p w:rsidR="00ED442A" w:rsidRDefault="00ED442A" w:rsidP="008A2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D442A" w:rsidRDefault="00ED442A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29/3/2016</w:t>
            </w:r>
          </w:p>
        </w:tc>
        <w:tc>
          <w:tcPr>
            <w:tcW w:w="5812" w:type="dxa"/>
          </w:tcPr>
          <w:p w:rsidR="00ED442A" w:rsidRDefault="00ED442A" w:rsidP="00ED4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for 7 UPHCs in different cities</w:t>
            </w:r>
          </w:p>
        </w:tc>
        <w:tc>
          <w:tcPr>
            <w:tcW w:w="1701" w:type="dxa"/>
          </w:tcPr>
          <w:p w:rsidR="00ED442A" w:rsidRDefault="00ED442A" w:rsidP="008A2C45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6220</w:t>
            </w:r>
          </w:p>
        </w:tc>
      </w:tr>
    </w:tbl>
    <w:p w:rsidR="00E61CFD" w:rsidRDefault="00E61CFD" w:rsidP="00E61CFD">
      <w:pPr>
        <w:jc w:val="both"/>
        <w:rPr>
          <w:sz w:val="24"/>
          <w:szCs w:val="24"/>
        </w:rPr>
      </w:pPr>
    </w:p>
    <w:p w:rsidR="00E61CFD" w:rsidRDefault="00E61CFD" w:rsidP="00E61CFD"/>
    <w:p w:rsidR="00810D54" w:rsidRDefault="00810D54" w:rsidP="00E61CFD"/>
    <w:p w:rsidR="00810D54" w:rsidRDefault="00810D54" w:rsidP="00E61CFD"/>
    <w:p w:rsidR="00810D54" w:rsidRDefault="00810D54" w:rsidP="00E61CFD"/>
    <w:p w:rsidR="00ED157E" w:rsidRDefault="00ED157E" w:rsidP="00ED157E">
      <w:pPr>
        <w:jc w:val="center"/>
      </w:pPr>
    </w:p>
    <w:p w:rsidR="00154B03" w:rsidRDefault="00154B03" w:rsidP="00ED157E">
      <w:pPr>
        <w:jc w:val="center"/>
      </w:pPr>
    </w:p>
    <w:sectPr w:rsidR="00154B03" w:rsidSect="00DE52FD">
      <w:pgSz w:w="11906" w:h="16838"/>
      <w:pgMar w:top="81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6A5A"/>
    <w:multiLevelType w:val="hybridMultilevel"/>
    <w:tmpl w:val="B8308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8061B"/>
    <w:multiLevelType w:val="hybridMultilevel"/>
    <w:tmpl w:val="CA7EDD9A"/>
    <w:lvl w:ilvl="0" w:tplc="EEA4C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8E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2F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E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A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07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28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64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45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06109"/>
    <w:multiLevelType w:val="hybridMultilevel"/>
    <w:tmpl w:val="A64A0BE0"/>
    <w:lvl w:ilvl="0" w:tplc="04384F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C2AE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2E5F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C226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8849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44AF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C68F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40AC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EC2C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FA279AB"/>
    <w:multiLevelType w:val="hybridMultilevel"/>
    <w:tmpl w:val="DBEC6612"/>
    <w:lvl w:ilvl="0" w:tplc="5AE20E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684D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7EBC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A421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E805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6AFC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4A69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B606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1060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8440A2E"/>
    <w:multiLevelType w:val="hybridMultilevel"/>
    <w:tmpl w:val="213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52D00"/>
    <w:multiLevelType w:val="hybridMultilevel"/>
    <w:tmpl w:val="0F3A8E1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F36F2"/>
    <w:rsid w:val="000266F6"/>
    <w:rsid w:val="0004469A"/>
    <w:rsid w:val="000B47CF"/>
    <w:rsid w:val="000D2D02"/>
    <w:rsid w:val="000D6DDF"/>
    <w:rsid w:val="000E3585"/>
    <w:rsid w:val="00105709"/>
    <w:rsid w:val="0012004E"/>
    <w:rsid w:val="0013142E"/>
    <w:rsid w:val="00131A5F"/>
    <w:rsid w:val="0014136A"/>
    <w:rsid w:val="00154B03"/>
    <w:rsid w:val="00156C19"/>
    <w:rsid w:val="00171D92"/>
    <w:rsid w:val="001E464B"/>
    <w:rsid w:val="001E5346"/>
    <w:rsid w:val="00210FBA"/>
    <w:rsid w:val="002A696B"/>
    <w:rsid w:val="0032351B"/>
    <w:rsid w:val="00347894"/>
    <w:rsid w:val="00381A97"/>
    <w:rsid w:val="003A5FAE"/>
    <w:rsid w:val="003C12C3"/>
    <w:rsid w:val="00417C51"/>
    <w:rsid w:val="0046050F"/>
    <w:rsid w:val="004C7107"/>
    <w:rsid w:val="004D4127"/>
    <w:rsid w:val="00507E19"/>
    <w:rsid w:val="005A3F19"/>
    <w:rsid w:val="005C6113"/>
    <w:rsid w:val="005C7573"/>
    <w:rsid w:val="00624BD6"/>
    <w:rsid w:val="00687375"/>
    <w:rsid w:val="00687D4B"/>
    <w:rsid w:val="0069703A"/>
    <w:rsid w:val="00710748"/>
    <w:rsid w:val="007349E4"/>
    <w:rsid w:val="007568A2"/>
    <w:rsid w:val="007725F0"/>
    <w:rsid w:val="00776821"/>
    <w:rsid w:val="00792AA3"/>
    <w:rsid w:val="007D1CEB"/>
    <w:rsid w:val="007E2253"/>
    <w:rsid w:val="00810D54"/>
    <w:rsid w:val="00856C10"/>
    <w:rsid w:val="008A2CEE"/>
    <w:rsid w:val="008C6B79"/>
    <w:rsid w:val="00984685"/>
    <w:rsid w:val="009D1646"/>
    <w:rsid w:val="00A033C8"/>
    <w:rsid w:val="00A679AD"/>
    <w:rsid w:val="00A81316"/>
    <w:rsid w:val="00AC4E82"/>
    <w:rsid w:val="00AD0037"/>
    <w:rsid w:val="00AD120B"/>
    <w:rsid w:val="00AF137A"/>
    <w:rsid w:val="00AF7EB7"/>
    <w:rsid w:val="00B16E57"/>
    <w:rsid w:val="00B24D29"/>
    <w:rsid w:val="00B5664D"/>
    <w:rsid w:val="00B70781"/>
    <w:rsid w:val="00BA3BC5"/>
    <w:rsid w:val="00BD7F6F"/>
    <w:rsid w:val="00BE6ABA"/>
    <w:rsid w:val="00C23A2F"/>
    <w:rsid w:val="00C247B5"/>
    <w:rsid w:val="00C34426"/>
    <w:rsid w:val="00C70C04"/>
    <w:rsid w:val="00C95711"/>
    <w:rsid w:val="00CB63C8"/>
    <w:rsid w:val="00CF5601"/>
    <w:rsid w:val="00D53A5C"/>
    <w:rsid w:val="00DC2676"/>
    <w:rsid w:val="00DE52FD"/>
    <w:rsid w:val="00E06F41"/>
    <w:rsid w:val="00E1708F"/>
    <w:rsid w:val="00E278BE"/>
    <w:rsid w:val="00E4746E"/>
    <w:rsid w:val="00E61CFD"/>
    <w:rsid w:val="00E947AF"/>
    <w:rsid w:val="00ED157E"/>
    <w:rsid w:val="00ED442A"/>
    <w:rsid w:val="00EF36F2"/>
    <w:rsid w:val="00FA6218"/>
    <w:rsid w:val="00FF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EF3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36F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EF36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679A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6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06F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6F41"/>
  </w:style>
  <w:style w:type="table" w:styleId="TableGrid">
    <w:name w:val="Table Grid"/>
    <w:basedOn w:val="TableNormal"/>
    <w:uiPriority w:val="59"/>
    <w:rsid w:val="00E06F4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1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26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650">
              <w:marLeft w:val="0"/>
              <w:marRight w:val="0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4886">
                      <w:marLeft w:val="123"/>
                      <w:marRight w:val="0"/>
                      <w:marTop w:val="123"/>
                      <w:marBottom w:val="0"/>
                      <w:divBdr>
                        <w:top w:val="single" w:sz="6" w:space="4" w:color="E2E2E2"/>
                        <w:left w:val="single" w:sz="6" w:space="4" w:color="E2E2E2"/>
                        <w:bottom w:val="single" w:sz="6" w:space="4" w:color="E2E2E2"/>
                        <w:right w:val="single" w:sz="6" w:space="4" w:color="E2E2E2"/>
                      </w:divBdr>
                      <w:divsChild>
                        <w:div w:id="15001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9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4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60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4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011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521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831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39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52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753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202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87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93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622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92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930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050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11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865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HM%20review.pptx" TargetMode="External"/><Relationship Id="rId3" Type="http://schemas.openxmlformats.org/officeDocument/2006/relationships/settings" Target="settings.xml"/><Relationship Id="rId7" Type="http://schemas.openxmlformats.org/officeDocument/2006/relationships/hyperlink" Target="NUHM%20review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HM%20review.pptx" TargetMode="External"/><Relationship Id="rId11" Type="http://schemas.openxmlformats.org/officeDocument/2006/relationships/theme" Target="theme/theme1.xml"/><Relationship Id="rId5" Type="http://schemas.openxmlformats.org/officeDocument/2006/relationships/hyperlink" Target="NUHM%20review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UHM%20review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mama</cp:lastModifiedBy>
  <cp:revision>22</cp:revision>
  <dcterms:created xsi:type="dcterms:W3CDTF">2016-06-18T09:25:00Z</dcterms:created>
  <dcterms:modified xsi:type="dcterms:W3CDTF">2016-08-28T12:01:00Z</dcterms:modified>
</cp:coreProperties>
</file>