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B8" w:rsidRDefault="0025414F" w:rsidP="0025414F">
      <w:pPr>
        <w:jc w:val="center"/>
        <w:rPr>
          <w:b/>
        </w:rPr>
      </w:pPr>
      <w:r w:rsidRPr="0025414F">
        <w:rPr>
          <w:b/>
        </w:rPr>
        <w:t>Child Health</w:t>
      </w:r>
    </w:p>
    <w:p w:rsidR="0025414F" w:rsidRDefault="0025414F" w:rsidP="0025414F">
      <w:pPr>
        <w:jc w:val="both"/>
      </w:pPr>
      <w:r>
        <w:t xml:space="preserve">As per SRS 2013, the under-five mortality rate (U5MR) of </w:t>
      </w:r>
      <w:proofErr w:type="spellStart"/>
      <w:r>
        <w:t>Odisha</w:t>
      </w:r>
      <w:proofErr w:type="spellEnd"/>
      <w:r>
        <w:t xml:space="preserve"> is 66 and infant mortality rate (IMR) is 51. The most common causes of under-five mortality are pneumonia, diarrhea, malaria &amp; measles, with the underlying cause being malnutrition. Around 45% of under-five children are under nourished and 74% are anemic. </w:t>
      </w:r>
    </w:p>
    <w:p w:rsidR="0025414F" w:rsidRDefault="0025414F" w:rsidP="0025414F">
      <w:pPr>
        <w:jc w:val="both"/>
      </w:pPr>
      <w:r>
        <w:t>Following strategies are taken for survival of the under-five children of the state:</w:t>
      </w:r>
    </w:p>
    <w:p w:rsidR="0025414F" w:rsidRPr="00091316" w:rsidRDefault="0025414F" w:rsidP="0025414F">
      <w:pPr>
        <w:pStyle w:val="ListParagraph"/>
        <w:numPr>
          <w:ilvl w:val="0"/>
          <w:numId w:val="1"/>
        </w:numPr>
        <w:jc w:val="both"/>
        <w:rPr>
          <w:b/>
        </w:rPr>
      </w:pPr>
      <w:r w:rsidRPr="00091316">
        <w:rPr>
          <w:b/>
        </w:rPr>
        <w:t>Community Level Interventions</w:t>
      </w:r>
    </w:p>
    <w:p w:rsidR="00F7487B" w:rsidRDefault="00F7487B" w:rsidP="0072400F">
      <w:pPr>
        <w:pStyle w:val="ListParagraph"/>
        <w:numPr>
          <w:ilvl w:val="1"/>
          <w:numId w:val="5"/>
        </w:numPr>
        <w:jc w:val="both"/>
      </w:pPr>
      <w:r>
        <w:t xml:space="preserve">Implementation of </w:t>
      </w:r>
      <w:r w:rsidRPr="00F7487B">
        <w:rPr>
          <w:b/>
        </w:rPr>
        <w:t>Integrated Management of Neonatal &amp; Childhood Illnesses (IMNCI)</w:t>
      </w:r>
      <w:r>
        <w:t xml:space="preserve"> in 20 districts</w:t>
      </w:r>
    </w:p>
    <w:p w:rsidR="00F7487B" w:rsidRDefault="00F7487B" w:rsidP="0072400F">
      <w:pPr>
        <w:pStyle w:val="ListParagraph"/>
        <w:numPr>
          <w:ilvl w:val="1"/>
          <w:numId w:val="5"/>
        </w:numPr>
        <w:jc w:val="both"/>
      </w:pPr>
      <w:r w:rsidRPr="00F7487B">
        <w:rPr>
          <w:b/>
        </w:rPr>
        <w:t>Village Health &amp; Nutrition Day (VHND)</w:t>
      </w:r>
      <w:r>
        <w:t xml:space="preserve"> covers all the villages at least once monthly where ANMs identify malnourished children and /or any other children suffering from common childhood illnesses and refer them to the facility.</w:t>
      </w:r>
    </w:p>
    <w:p w:rsidR="00B62EFA" w:rsidRDefault="00F7487B" w:rsidP="0072400F">
      <w:pPr>
        <w:pStyle w:val="ListParagraph"/>
        <w:numPr>
          <w:ilvl w:val="1"/>
          <w:numId w:val="5"/>
        </w:numPr>
        <w:jc w:val="both"/>
      </w:pPr>
      <w:r w:rsidRPr="00B62EFA">
        <w:rPr>
          <w:b/>
        </w:rPr>
        <w:t xml:space="preserve">Routine Immunization (RI): </w:t>
      </w:r>
      <w:r>
        <w:t xml:space="preserve">Immunization </w:t>
      </w:r>
      <w:proofErr w:type="spellStart"/>
      <w:r>
        <w:t>programme</w:t>
      </w:r>
      <w:proofErr w:type="spellEnd"/>
      <w:r>
        <w:t xml:space="preserve"> is being conducted by ANMs every Wednesday, as per the </w:t>
      </w:r>
      <w:proofErr w:type="spellStart"/>
      <w:r>
        <w:t>microplan</w:t>
      </w:r>
      <w:proofErr w:type="spellEnd"/>
      <w:r>
        <w:t xml:space="preserve"> developed, covering all the areas under each sub-center. Children are immunized against all vaccine preventable diseases such as diphtheria, pertussis, tetanus, hepatitis B, polio, tuberculosis and measles. </w:t>
      </w:r>
      <w:proofErr w:type="spellStart"/>
      <w:r>
        <w:t>Pentavalent</w:t>
      </w:r>
      <w:proofErr w:type="spellEnd"/>
      <w:r>
        <w:t xml:space="preserve"> vaccine and IPV are</w:t>
      </w:r>
      <w:r w:rsidR="00091316">
        <w:t xml:space="preserve"> going to be implemented shortly. </w:t>
      </w:r>
    </w:p>
    <w:p w:rsidR="00091316" w:rsidRDefault="00091316" w:rsidP="0072400F">
      <w:pPr>
        <w:pStyle w:val="ListParagraph"/>
        <w:numPr>
          <w:ilvl w:val="1"/>
          <w:numId w:val="5"/>
        </w:numPr>
        <w:jc w:val="both"/>
      </w:pPr>
      <w:r w:rsidRPr="00B62EFA">
        <w:rPr>
          <w:b/>
        </w:rPr>
        <w:t>Integrated Action for Prevention of Pneumonia &amp; Diarrhea (IAPPD):</w:t>
      </w:r>
      <w:r w:rsidRPr="00091316">
        <w:t>Pneumonia and diarrhoea are</w:t>
      </w:r>
      <w:r>
        <w:t xml:space="preserve"> the two major causes of under-five deaths. To address this, community health workers are trained on detection of pneumonia by counting respiration and on assessment of dehydration in case of a child suffering from diarrhea. At the same time supply of drugs to sub-center level is ensured through </w:t>
      </w:r>
      <w:proofErr w:type="spellStart"/>
      <w:r>
        <w:t>Odisha</w:t>
      </w:r>
      <w:proofErr w:type="spellEnd"/>
      <w:r>
        <w:t xml:space="preserve"> State Medical Corporation so that all the ANMs can treat pneumonia with amoxicillin &amp; gentamycin and diarrhea with ORS &amp; zinc.</w:t>
      </w:r>
    </w:p>
    <w:p w:rsidR="00091316" w:rsidRPr="00091316" w:rsidRDefault="00091316" w:rsidP="00091316">
      <w:pPr>
        <w:pStyle w:val="ListParagraph"/>
        <w:jc w:val="both"/>
      </w:pPr>
    </w:p>
    <w:p w:rsidR="00091316" w:rsidRPr="00091316" w:rsidRDefault="0025414F" w:rsidP="00091316">
      <w:pPr>
        <w:pStyle w:val="ListParagraph"/>
        <w:numPr>
          <w:ilvl w:val="0"/>
          <w:numId w:val="1"/>
        </w:numPr>
        <w:jc w:val="both"/>
        <w:rPr>
          <w:b/>
        </w:rPr>
      </w:pPr>
      <w:r w:rsidRPr="00091316">
        <w:rPr>
          <w:b/>
        </w:rPr>
        <w:t>Facility</w:t>
      </w:r>
      <w:r w:rsidR="00F7487B" w:rsidRPr="00091316">
        <w:rPr>
          <w:b/>
        </w:rPr>
        <w:t xml:space="preserve"> Level Interventions</w:t>
      </w:r>
      <w:r w:rsidR="00091316">
        <w:rPr>
          <w:b/>
        </w:rPr>
        <w:t xml:space="preserve">: </w:t>
      </w:r>
      <w:r w:rsidR="00091316">
        <w:t xml:space="preserve">ANMs and ASHAs are trained to refer </w:t>
      </w:r>
      <w:r w:rsidR="0072400F">
        <w:t>sick under-</w:t>
      </w:r>
      <w:r w:rsidR="00091316">
        <w:t>five children to facility level for furth</w:t>
      </w:r>
      <w:r w:rsidR="0072400F">
        <w:t>er treatment. Therefore:</w:t>
      </w:r>
    </w:p>
    <w:p w:rsidR="00091316" w:rsidRPr="0072400F" w:rsidRDefault="00091316" w:rsidP="0072400F">
      <w:pPr>
        <w:pStyle w:val="ListParagraph"/>
        <w:numPr>
          <w:ilvl w:val="0"/>
          <w:numId w:val="6"/>
        </w:numPr>
        <w:jc w:val="both"/>
        <w:rPr>
          <w:b/>
        </w:rPr>
      </w:pPr>
      <w:r w:rsidRPr="0072400F">
        <w:rPr>
          <w:b/>
        </w:rPr>
        <w:t>Standard treatment protocols</w:t>
      </w:r>
      <w:r>
        <w:t xml:space="preserve"> for common diseases are available </w:t>
      </w:r>
      <w:r w:rsidR="0072400F">
        <w:t xml:space="preserve">at DHH, SDH and selected CHCs having indoor facilities. Doctors &amp; staff nurses of the concerned facilities are trained on treatment and management of sick children at facility level </w:t>
      </w:r>
      <w:r w:rsidR="0072400F">
        <w:rPr>
          <w:b/>
        </w:rPr>
        <w:t>[</w:t>
      </w:r>
      <w:r w:rsidR="0072400F" w:rsidRPr="0072400F">
        <w:rPr>
          <w:b/>
        </w:rPr>
        <w:t>facility based IMNCI (f-IMNCI)</w:t>
      </w:r>
      <w:r w:rsidR="0072400F">
        <w:rPr>
          <w:b/>
        </w:rPr>
        <w:t>]</w:t>
      </w:r>
    </w:p>
    <w:p w:rsidR="00EE1BDD" w:rsidRPr="00EE1BDD" w:rsidRDefault="0072400F" w:rsidP="00EE1BDD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Nutrition Rehabilitation Centre (NRC): </w:t>
      </w:r>
      <w:r>
        <w:t xml:space="preserve"> This is a special facility for treatment of children suffering from severe acute malnutrition (SAM), with availability of trained manpower. Besides treatment, </w:t>
      </w:r>
      <w:r w:rsidR="00EE1BDD">
        <w:t>there is provision of</w:t>
      </w:r>
      <w:r>
        <w:t xml:space="preserve"> diet in the NRC for the SAM child and his/her mother along with loss of wages for family during stay at the facility. Mothers are also trained on preparation of nutritious food and maintenance of hygiene during child feeding. </w:t>
      </w:r>
      <w:r w:rsidR="00EE1BDD">
        <w:t>Moreover, for sensory stimulation of children, there is provision of indoor &amp; outdoor games and audio-visual aids in the facility.</w:t>
      </w:r>
    </w:p>
    <w:p w:rsidR="00EE1BDD" w:rsidRPr="00EE1BDD" w:rsidRDefault="00EE1BDD" w:rsidP="00EE1BDD">
      <w:pPr>
        <w:pStyle w:val="ListParagraph"/>
        <w:numPr>
          <w:ilvl w:val="0"/>
          <w:numId w:val="6"/>
        </w:numPr>
        <w:jc w:val="both"/>
        <w:rPr>
          <w:b/>
        </w:rPr>
      </w:pPr>
      <w:r>
        <w:t xml:space="preserve">Detection of SAM children is generally done by </w:t>
      </w:r>
      <w:proofErr w:type="spellStart"/>
      <w:r>
        <w:t>Anganwadi</w:t>
      </w:r>
      <w:proofErr w:type="spellEnd"/>
      <w:r>
        <w:t xml:space="preserve"> workers at </w:t>
      </w:r>
      <w:proofErr w:type="spellStart"/>
      <w:r>
        <w:t>Anganwadi</w:t>
      </w:r>
      <w:proofErr w:type="spellEnd"/>
      <w:r w:rsidR="001036B5">
        <w:t xml:space="preserve"> </w:t>
      </w:r>
      <w:proofErr w:type="spellStart"/>
      <w:r>
        <w:t>Centres</w:t>
      </w:r>
      <w:proofErr w:type="spellEnd"/>
      <w:r>
        <w:t xml:space="preserve">. In addition to this, they are also being detected at VHND sessions by </w:t>
      </w:r>
      <w:proofErr w:type="spellStart"/>
      <w:r>
        <w:t>Rashtriya</w:t>
      </w:r>
      <w:proofErr w:type="spellEnd"/>
      <w:r w:rsidR="001036B5">
        <w:t xml:space="preserve"> </w:t>
      </w:r>
      <w:proofErr w:type="gramStart"/>
      <w:r>
        <w:t>Bal</w:t>
      </w:r>
      <w:proofErr w:type="gramEnd"/>
      <w:r w:rsidR="001036B5">
        <w:t xml:space="preserve"> </w:t>
      </w:r>
      <w:proofErr w:type="spellStart"/>
      <w:r>
        <w:t>S</w:t>
      </w:r>
      <w:r w:rsidR="001036B5">
        <w:t>wasthya</w:t>
      </w:r>
      <w:proofErr w:type="spellEnd"/>
      <w:r w:rsidR="001036B5">
        <w:t xml:space="preserve"> </w:t>
      </w:r>
      <w:proofErr w:type="spellStart"/>
      <w:r>
        <w:t>Karyakram</w:t>
      </w:r>
      <w:proofErr w:type="spellEnd"/>
      <w:r>
        <w:t xml:space="preserve"> (RBSK) team. </w:t>
      </w:r>
    </w:p>
    <w:p w:rsidR="001A69B1" w:rsidRPr="001A69B1" w:rsidRDefault="00EE1BDD" w:rsidP="00EE1BDD">
      <w:pPr>
        <w:pStyle w:val="ListParagraph"/>
        <w:numPr>
          <w:ilvl w:val="0"/>
          <w:numId w:val="6"/>
        </w:numPr>
        <w:jc w:val="both"/>
        <w:rPr>
          <w:b/>
        </w:rPr>
      </w:pPr>
      <w:r w:rsidRPr="001A69B1">
        <w:rPr>
          <w:b/>
        </w:rPr>
        <w:lastRenderedPageBreak/>
        <w:t>Infant &amp; Young Child Feeding Practices (IYCF):</w:t>
      </w:r>
      <w:r>
        <w:t xml:space="preserve"> IYCF training program for </w:t>
      </w:r>
      <w:proofErr w:type="spellStart"/>
      <w:r>
        <w:t>Anganwadi</w:t>
      </w:r>
      <w:proofErr w:type="spellEnd"/>
      <w:r>
        <w:t xml:space="preserve"> workers and other health service providers are going on for awareness regarding exclusive breastfeeding and complementary feeding.</w:t>
      </w:r>
    </w:p>
    <w:p w:rsidR="00EE1BDD" w:rsidRPr="001A69B1" w:rsidRDefault="00EE1BDD" w:rsidP="00EE1BDD">
      <w:pPr>
        <w:pStyle w:val="ListParagraph"/>
        <w:numPr>
          <w:ilvl w:val="0"/>
          <w:numId w:val="6"/>
        </w:numPr>
        <w:jc w:val="both"/>
        <w:rPr>
          <w:b/>
        </w:rPr>
      </w:pPr>
      <w:bookmarkStart w:id="0" w:name="_GoBack"/>
      <w:bookmarkEnd w:id="0"/>
      <w:r w:rsidRPr="001A69B1">
        <w:rPr>
          <w:b/>
        </w:rPr>
        <w:t>National Iron Plus Initiative (NIPI):</w:t>
      </w:r>
      <w:r>
        <w:t xml:space="preserve"> Under this scheme</w:t>
      </w:r>
      <w:r w:rsidR="00346B2D">
        <w:t xml:space="preserve"> iron &amp; folic acid syrup and tablets are being distributed to different age groups in the following prescribed dosage:</w:t>
      </w:r>
    </w:p>
    <w:tbl>
      <w:tblPr>
        <w:tblStyle w:val="TableGrid"/>
        <w:tblW w:w="0" w:type="auto"/>
        <w:tblInd w:w="828" w:type="dxa"/>
        <w:tblLook w:val="04A0"/>
      </w:tblPr>
      <w:tblGrid>
        <w:gridCol w:w="2827"/>
        <w:gridCol w:w="2974"/>
        <w:gridCol w:w="2947"/>
      </w:tblGrid>
      <w:tr w:rsidR="00346B2D" w:rsidTr="00346B2D">
        <w:tc>
          <w:tcPr>
            <w:tcW w:w="2827" w:type="dxa"/>
          </w:tcPr>
          <w:p w:rsidR="00346B2D" w:rsidRDefault="00346B2D" w:rsidP="00346B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2974" w:type="dxa"/>
          </w:tcPr>
          <w:p w:rsidR="00346B2D" w:rsidRDefault="00346B2D" w:rsidP="00346B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Type of Drug</w:t>
            </w:r>
          </w:p>
        </w:tc>
        <w:tc>
          <w:tcPr>
            <w:tcW w:w="2947" w:type="dxa"/>
          </w:tcPr>
          <w:p w:rsidR="00346B2D" w:rsidRDefault="00346B2D" w:rsidP="00346B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</w:tr>
      <w:tr w:rsidR="00346B2D" w:rsidTr="00346B2D">
        <w:tc>
          <w:tcPr>
            <w:tcW w:w="2827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6 months – 5 years</w:t>
            </w:r>
          </w:p>
        </w:tc>
        <w:tc>
          <w:tcPr>
            <w:tcW w:w="2974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IFA syrup</w:t>
            </w:r>
          </w:p>
        </w:tc>
        <w:tc>
          <w:tcPr>
            <w:tcW w:w="2947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1 ml biweekly</w:t>
            </w:r>
          </w:p>
        </w:tc>
      </w:tr>
      <w:tr w:rsidR="00346B2D" w:rsidTr="00346B2D">
        <w:tc>
          <w:tcPr>
            <w:tcW w:w="2827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6 years – 10 years</w:t>
            </w:r>
          </w:p>
        </w:tc>
        <w:tc>
          <w:tcPr>
            <w:tcW w:w="2974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IFA tablet (</w:t>
            </w:r>
            <w:proofErr w:type="spellStart"/>
            <w:r>
              <w:t>paediatric</w:t>
            </w:r>
            <w:proofErr w:type="spellEnd"/>
            <w:r>
              <w:t>)</w:t>
            </w:r>
          </w:p>
        </w:tc>
        <w:tc>
          <w:tcPr>
            <w:tcW w:w="2947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Once weekly</w:t>
            </w:r>
          </w:p>
        </w:tc>
      </w:tr>
      <w:tr w:rsidR="00346B2D" w:rsidTr="00346B2D">
        <w:tc>
          <w:tcPr>
            <w:tcW w:w="2827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11 years – 19 years</w:t>
            </w:r>
          </w:p>
        </w:tc>
        <w:tc>
          <w:tcPr>
            <w:tcW w:w="2974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IFA tablet (blue color)</w:t>
            </w:r>
          </w:p>
        </w:tc>
        <w:tc>
          <w:tcPr>
            <w:tcW w:w="2947" w:type="dxa"/>
          </w:tcPr>
          <w:p w:rsidR="00346B2D" w:rsidRPr="00346B2D" w:rsidRDefault="00346B2D" w:rsidP="00346B2D">
            <w:pPr>
              <w:pStyle w:val="ListParagraph"/>
              <w:ind w:left="0"/>
              <w:jc w:val="center"/>
            </w:pPr>
            <w:r>
              <w:t>Once weekly</w:t>
            </w:r>
          </w:p>
        </w:tc>
      </w:tr>
    </w:tbl>
    <w:p w:rsidR="00346B2D" w:rsidRPr="00EE1BDD" w:rsidRDefault="00346B2D" w:rsidP="00346B2D">
      <w:pPr>
        <w:pStyle w:val="ListParagraph"/>
        <w:jc w:val="both"/>
        <w:rPr>
          <w:b/>
        </w:rPr>
      </w:pPr>
    </w:p>
    <w:sectPr w:rsidR="00346B2D" w:rsidRPr="00EE1BDD" w:rsidSect="00F2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100"/>
    <w:multiLevelType w:val="hybridMultilevel"/>
    <w:tmpl w:val="F300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5110"/>
    <w:multiLevelType w:val="hybridMultilevel"/>
    <w:tmpl w:val="34F8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56BA"/>
    <w:multiLevelType w:val="hybridMultilevel"/>
    <w:tmpl w:val="8F6456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81200F"/>
    <w:multiLevelType w:val="hybridMultilevel"/>
    <w:tmpl w:val="107CA0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8805C1"/>
    <w:multiLevelType w:val="hybridMultilevel"/>
    <w:tmpl w:val="73C4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30197"/>
    <w:multiLevelType w:val="hybridMultilevel"/>
    <w:tmpl w:val="664853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A22"/>
    <w:rsid w:val="00091316"/>
    <w:rsid w:val="001036B5"/>
    <w:rsid w:val="001A69B1"/>
    <w:rsid w:val="0025414F"/>
    <w:rsid w:val="00346B2D"/>
    <w:rsid w:val="003D0E24"/>
    <w:rsid w:val="003F5EB8"/>
    <w:rsid w:val="00537A22"/>
    <w:rsid w:val="0072400F"/>
    <w:rsid w:val="009A2E37"/>
    <w:rsid w:val="00B62EFA"/>
    <w:rsid w:val="00EE1BDD"/>
    <w:rsid w:val="00F21825"/>
    <w:rsid w:val="00F7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4F"/>
    <w:pPr>
      <w:ind w:left="720"/>
      <w:contextualSpacing/>
    </w:pPr>
  </w:style>
  <w:style w:type="table" w:styleId="TableGrid">
    <w:name w:val="Table Grid"/>
    <w:basedOn w:val="TableNormal"/>
    <w:uiPriority w:val="59"/>
    <w:rsid w:val="0034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4F"/>
    <w:pPr>
      <w:ind w:left="720"/>
      <w:contextualSpacing/>
    </w:pPr>
  </w:style>
  <w:style w:type="table" w:styleId="TableGrid">
    <w:name w:val="Table Grid"/>
    <w:basedOn w:val="TableNormal"/>
    <w:uiPriority w:val="59"/>
    <w:rsid w:val="0034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dcterms:created xsi:type="dcterms:W3CDTF">2015-08-19T22:20:00Z</dcterms:created>
  <dcterms:modified xsi:type="dcterms:W3CDTF">2016-07-01T05:47:00Z</dcterms:modified>
</cp:coreProperties>
</file>